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54" w:rsidRPr="006757FD" w:rsidRDefault="00820A54" w:rsidP="00287F49">
      <w:pPr>
        <w:spacing w:line="240" w:lineRule="auto"/>
      </w:pPr>
      <w:bookmarkStart w:id="0" w:name="_GoBack"/>
      <w:bookmarkEnd w:id="0"/>
    </w:p>
    <w:p w:rsidR="00C16CEB" w:rsidRPr="006757FD" w:rsidRDefault="00C16CEB" w:rsidP="00287F49">
      <w:pPr>
        <w:spacing w:line="240" w:lineRule="auto"/>
      </w:pPr>
      <w:r w:rsidRPr="006757FD">
        <w:t>National Disability Services – NDIS</w:t>
      </w:r>
      <w:r w:rsidR="00A57272" w:rsidRPr="006757FD">
        <w:t>:</w:t>
      </w:r>
      <w:r w:rsidRPr="006757FD">
        <w:t xml:space="preserve"> </w:t>
      </w:r>
      <w:r w:rsidR="00CB08D2" w:rsidRPr="006757FD">
        <w:tab/>
      </w:r>
      <w:r w:rsidRPr="006757FD">
        <w:tab/>
      </w:r>
      <w:r w:rsidRPr="006757FD">
        <w:tab/>
      </w:r>
      <w:hyperlink r:id="rId6" w:history="1">
        <w:r w:rsidRPr="006757FD">
          <w:rPr>
            <w:rStyle w:val="Hyperlink"/>
            <w:color w:val="auto"/>
          </w:rPr>
          <w:t>https://www.nds.org.au/images/stpvic/ndis_Glossary_Key_Terms_and_Acronyms.pdf</w:t>
        </w:r>
      </w:hyperlink>
    </w:p>
    <w:p w:rsidR="00C16CEB" w:rsidRPr="006757FD" w:rsidRDefault="00C16CEB" w:rsidP="00287F49">
      <w:pPr>
        <w:spacing w:line="240" w:lineRule="auto"/>
      </w:pPr>
      <w:r w:rsidRPr="006757FD">
        <w:t xml:space="preserve">Department of Education and Training:  </w:t>
      </w:r>
      <w:r w:rsidRPr="006757FD">
        <w:tab/>
      </w:r>
      <w:r w:rsidRPr="006757FD">
        <w:tab/>
      </w:r>
      <w:r w:rsidRPr="006757FD">
        <w:tab/>
      </w:r>
      <w:hyperlink r:id="rId7" w:history="1">
        <w:r w:rsidRPr="006757FD">
          <w:rPr>
            <w:rStyle w:val="Hyperlink"/>
            <w:color w:val="auto"/>
          </w:rPr>
          <w:t>https://www.education.gov.au/acronyms</w:t>
        </w:r>
      </w:hyperlink>
    </w:p>
    <w:p w:rsidR="00C16CEB" w:rsidRPr="006757FD" w:rsidRDefault="00C16CEB" w:rsidP="00287F49">
      <w:pPr>
        <w:spacing w:line="240" w:lineRule="auto"/>
      </w:pPr>
      <w:r w:rsidRPr="006757FD">
        <w:t xml:space="preserve">Department of Employment:  </w:t>
      </w:r>
      <w:r w:rsidRPr="006757FD">
        <w:tab/>
      </w:r>
      <w:r w:rsidRPr="006757FD">
        <w:tab/>
      </w:r>
      <w:r w:rsidRPr="006757FD">
        <w:tab/>
      </w:r>
      <w:r w:rsidRPr="006757FD">
        <w:tab/>
      </w:r>
      <w:hyperlink r:id="rId8" w:history="1">
        <w:r w:rsidRPr="006757FD">
          <w:rPr>
            <w:rStyle w:val="Hyperlink"/>
            <w:color w:val="auto"/>
          </w:rPr>
          <w:t>https://www.employment.gov.au/acronyms</w:t>
        </w:r>
      </w:hyperlink>
    </w:p>
    <w:p w:rsidR="00C16CEB" w:rsidRPr="006757FD" w:rsidRDefault="00C16CEB" w:rsidP="00287F49">
      <w:pPr>
        <w:spacing w:line="240" w:lineRule="auto"/>
      </w:pPr>
      <w:r w:rsidRPr="006757FD">
        <w:t xml:space="preserve">Department of Education and Training Victoria: </w:t>
      </w:r>
      <w:r w:rsidRPr="006757FD">
        <w:tab/>
      </w:r>
      <w:r w:rsidRPr="006757FD">
        <w:tab/>
      </w:r>
      <w:hyperlink r:id="rId9" w:anchor="link90" w:history="1">
        <w:r w:rsidRPr="006757FD">
          <w:rPr>
            <w:rStyle w:val="Hyperlink"/>
            <w:color w:val="auto"/>
          </w:rPr>
          <w:t>http://www.education.vic.gov.au/about/department/Pages/acronyms.aspx#link90</w:t>
        </w:r>
      </w:hyperlink>
    </w:p>
    <w:p w:rsidR="00C16CEB" w:rsidRPr="006757FD" w:rsidRDefault="00C16CEB" w:rsidP="00287F49">
      <w:pPr>
        <w:spacing w:line="240" w:lineRule="auto"/>
      </w:pPr>
      <w:r w:rsidRPr="006757FD">
        <w:t>Vocational Education and Training:</w:t>
      </w:r>
      <w:r w:rsidRPr="006757FD">
        <w:tab/>
      </w:r>
      <w:r w:rsidRPr="006757FD">
        <w:tab/>
      </w:r>
      <w:r w:rsidRPr="006757FD">
        <w:tab/>
      </w:r>
      <w:hyperlink r:id="rId10" w:history="1">
        <w:r w:rsidRPr="006757FD">
          <w:rPr>
            <w:rStyle w:val="Hyperlink"/>
            <w:color w:val="auto"/>
          </w:rPr>
          <w:t>http://www.voced.edu.au/glossary-vet</w:t>
        </w:r>
      </w:hyperlink>
    </w:p>
    <w:p w:rsidR="00C16CEB" w:rsidRPr="006757FD" w:rsidRDefault="00C16CEB" w:rsidP="00287F49">
      <w:pPr>
        <w:spacing w:line="240" w:lineRule="auto"/>
      </w:pPr>
      <w:r w:rsidRPr="006757FD">
        <w:t xml:space="preserve">Department of Health: </w:t>
      </w:r>
      <w:r w:rsidRPr="006757FD">
        <w:tab/>
      </w:r>
      <w:r w:rsidRPr="006757FD">
        <w:tab/>
      </w:r>
      <w:r w:rsidRPr="006757FD">
        <w:tab/>
      </w:r>
      <w:r w:rsidRPr="006757FD">
        <w:tab/>
      </w:r>
      <w:r w:rsidRPr="006757FD">
        <w:tab/>
      </w:r>
      <w:hyperlink r:id="rId11" w:history="1">
        <w:r w:rsidRPr="006757FD">
          <w:rPr>
            <w:rStyle w:val="Hyperlink"/>
            <w:color w:val="auto"/>
          </w:rPr>
          <w:t>http://www.health.gov.au/internet/main/publishing.nsf/content/glossary</w:t>
        </w:r>
      </w:hyperlink>
      <w:r w:rsidR="004C4DFE" w:rsidRPr="006757FD">
        <w:tab/>
      </w:r>
    </w:p>
    <w:p w:rsidR="004C4DFE" w:rsidRPr="006757FD" w:rsidRDefault="004C4DFE" w:rsidP="00287F49">
      <w:pPr>
        <w:spacing w:line="240" w:lineRule="auto"/>
      </w:pPr>
    </w:p>
    <w:tbl>
      <w:tblPr>
        <w:tblStyle w:val="TableGrid"/>
        <w:tblW w:w="14601" w:type="dxa"/>
        <w:tblInd w:w="-289" w:type="dxa"/>
        <w:tblLayout w:type="fixed"/>
        <w:tblLook w:val="04A0" w:firstRow="1" w:lastRow="0" w:firstColumn="1" w:lastColumn="0" w:noHBand="0" w:noVBand="1"/>
      </w:tblPr>
      <w:tblGrid>
        <w:gridCol w:w="1113"/>
        <w:gridCol w:w="3140"/>
        <w:gridCol w:w="6657"/>
        <w:gridCol w:w="3691"/>
      </w:tblGrid>
      <w:tr w:rsidR="006757FD" w:rsidRPr="006757FD" w:rsidTr="00820A54">
        <w:tc>
          <w:tcPr>
            <w:tcW w:w="1113" w:type="dxa"/>
            <w:shd w:val="clear" w:color="auto" w:fill="D0CECE" w:themeFill="background2" w:themeFillShade="E6"/>
          </w:tcPr>
          <w:p w:rsidR="00515029" w:rsidRPr="006757FD" w:rsidRDefault="00515029" w:rsidP="00287F49">
            <w:r w:rsidRPr="006757FD">
              <w:t>Acronym</w:t>
            </w:r>
          </w:p>
        </w:tc>
        <w:tc>
          <w:tcPr>
            <w:tcW w:w="3140" w:type="dxa"/>
            <w:shd w:val="clear" w:color="auto" w:fill="D0CECE" w:themeFill="background2" w:themeFillShade="E6"/>
          </w:tcPr>
          <w:p w:rsidR="00515029" w:rsidRPr="006757FD" w:rsidRDefault="00515029" w:rsidP="00287F49">
            <w:r w:rsidRPr="006757FD">
              <w:t>Title</w:t>
            </w:r>
          </w:p>
        </w:tc>
        <w:tc>
          <w:tcPr>
            <w:tcW w:w="6657" w:type="dxa"/>
            <w:shd w:val="clear" w:color="auto" w:fill="D0CECE" w:themeFill="background2" w:themeFillShade="E6"/>
          </w:tcPr>
          <w:p w:rsidR="00515029" w:rsidRPr="006757FD" w:rsidRDefault="000B7AF0" w:rsidP="00287F49">
            <w:r w:rsidRPr="006757FD">
              <w:t>Description</w:t>
            </w:r>
          </w:p>
        </w:tc>
        <w:tc>
          <w:tcPr>
            <w:tcW w:w="3691" w:type="dxa"/>
            <w:shd w:val="clear" w:color="auto" w:fill="D0CECE" w:themeFill="background2" w:themeFillShade="E6"/>
          </w:tcPr>
          <w:p w:rsidR="00515029" w:rsidRPr="006757FD" w:rsidRDefault="00515029" w:rsidP="00287F49">
            <w:r w:rsidRPr="006757FD">
              <w:t>Website</w:t>
            </w:r>
          </w:p>
        </w:tc>
      </w:tr>
      <w:tr w:rsidR="006757FD" w:rsidRPr="006757FD" w:rsidTr="00565E7C">
        <w:tc>
          <w:tcPr>
            <w:tcW w:w="1113" w:type="dxa"/>
          </w:tcPr>
          <w:p w:rsidR="00EF0341" w:rsidRPr="006757FD" w:rsidRDefault="00EF0341" w:rsidP="00287F49">
            <w:r w:rsidRPr="006757FD">
              <w:t>ACE</w:t>
            </w:r>
          </w:p>
        </w:tc>
        <w:tc>
          <w:tcPr>
            <w:tcW w:w="3140" w:type="dxa"/>
          </w:tcPr>
          <w:p w:rsidR="00EF0341" w:rsidRPr="006757FD" w:rsidRDefault="00EF0341" w:rsidP="00287F49">
            <w:r w:rsidRPr="006757FD">
              <w:t>Adult Community Education</w:t>
            </w:r>
          </w:p>
        </w:tc>
        <w:tc>
          <w:tcPr>
            <w:tcW w:w="6657" w:type="dxa"/>
          </w:tcPr>
          <w:p w:rsidR="00EF0341" w:rsidRPr="006757FD" w:rsidRDefault="00EF0341" w:rsidP="00287F49">
            <w:r w:rsidRPr="006757FD">
              <w:t>The Adult Community Education (ACE) program provides a supportive entry point for people to participate in learning and to transition to volunteering, further education, training and work.</w:t>
            </w:r>
          </w:p>
        </w:tc>
        <w:tc>
          <w:tcPr>
            <w:tcW w:w="3691" w:type="dxa"/>
          </w:tcPr>
          <w:p w:rsidR="00EF0341" w:rsidRPr="006757FD" w:rsidRDefault="00EF0341" w:rsidP="00287F49">
            <w:r w:rsidRPr="006757FD">
              <w:t>http://www.acevic.org.au/</w:t>
            </w:r>
          </w:p>
        </w:tc>
      </w:tr>
      <w:tr w:rsidR="006757FD" w:rsidRPr="006757FD" w:rsidTr="00565E7C">
        <w:tc>
          <w:tcPr>
            <w:tcW w:w="1113" w:type="dxa"/>
          </w:tcPr>
          <w:p w:rsidR="00CB7B39" w:rsidRPr="006757FD" w:rsidRDefault="00CB7B39" w:rsidP="00287F49">
            <w:r w:rsidRPr="006757FD">
              <w:t>ADCET</w:t>
            </w:r>
          </w:p>
        </w:tc>
        <w:tc>
          <w:tcPr>
            <w:tcW w:w="3140" w:type="dxa"/>
          </w:tcPr>
          <w:p w:rsidR="00CB7B39" w:rsidRPr="006757FD" w:rsidRDefault="00CB7B39" w:rsidP="00287F49">
            <w:r w:rsidRPr="006757FD">
              <w:t>Australian Disability Clearinghouse on Education and Training</w:t>
            </w:r>
          </w:p>
        </w:tc>
        <w:tc>
          <w:tcPr>
            <w:tcW w:w="6657" w:type="dxa"/>
          </w:tcPr>
          <w:p w:rsidR="00CB7B39" w:rsidRPr="006757FD" w:rsidRDefault="00CB7B39" w:rsidP="00287F49">
            <w:r w:rsidRPr="006757FD">
              <w:t xml:space="preserve">ADCET provides information, advice and resources to disability practitioners, academics, teachers and students on inclusive practices within the post-secondary education sector.  </w:t>
            </w:r>
          </w:p>
        </w:tc>
        <w:tc>
          <w:tcPr>
            <w:tcW w:w="3691" w:type="dxa"/>
          </w:tcPr>
          <w:p w:rsidR="00CB7B39" w:rsidRPr="006757FD" w:rsidRDefault="00A638DD" w:rsidP="00287F49">
            <w:pPr>
              <w:rPr>
                <w:rStyle w:val="Hyperlink"/>
                <w:rFonts w:cs="Arial"/>
                <w:color w:val="auto"/>
                <w:shd w:val="clear" w:color="auto" w:fill="FFFFFF"/>
              </w:rPr>
            </w:pPr>
            <w:hyperlink r:id="rId12" w:history="1">
              <w:r w:rsidR="00494272" w:rsidRPr="006757FD">
                <w:rPr>
                  <w:rStyle w:val="Hyperlink"/>
                  <w:rFonts w:cs="Arial"/>
                  <w:color w:val="auto"/>
                  <w:shd w:val="clear" w:color="auto" w:fill="FFFFFF"/>
                </w:rPr>
                <w:t>https://www.adcet.edu.au/</w:t>
              </w:r>
            </w:hyperlink>
          </w:p>
          <w:p w:rsidR="004C4DFE" w:rsidRPr="006757FD" w:rsidRDefault="004C4DFE" w:rsidP="00287F49">
            <w:pPr>
              <w:rPr>
                <w:rStyle w:val="Hyperlink"/>
                <w:rFonts w:cs="Arial"/>
                <w:color w:val="auto"/>
                <w:shd w:val="clear" w:color="auto" w:fill="FFFFFF"/>
              </w:rPr>
            </w:pPr>
          </w:p>
          <w:p w:rsidR="00CB7B39" w:rsidRPr="006757FD" w:rsidRDefault="00CB7B39" w:rsidP="00287F49">
            <w:pPr>
              <w:rPr>
                <w:rStyle w:val="Hyperlink"/>
                <w:rFonts w:cs="Arial"/>
                <w:color w:val="auto"/>
                <w:shd w:val="clear" w:color="auto" w:fill="FFFFFF"/>
              </w:rPr>
            </w:pPr>
          </w:p>
        </w:tc>
      </w:tr>
      <w:tr w:rsidR="006757FD" w:rsidRPr="006757FD" w:rsidTr="00565E7C">
        <w:tc>
          <w:tcPr>
            <w:tcW w:w="1113" w:type="dxa"/>
          </w:tcPr>
          <w:p w:rsidR="001A6490" w:rsidRPr="006757FD" w:rsidRDefault="001A6490" w:rsidP="00287F49">
            <w:r w:rsidRPr="006757FD">
              <w:t>AFDO</w:t>
            </w:r>
          </w:p>
        </w:tc>
        <w:tc>
          <w:tcPr>
            <w:tcW w:w="3140" w:type="dxa"/>
          </w:tcPr>
          <w:p w:rsidR="001A6490" w:rsidRPr="006757FD" w:rsidRDefault="001A6490" w:rsidP="00287F49">
            <w:r w:rsidRPr="006757FD">
              <w:rPr>
                <w:rFonts w:cs="Arial"/>
                <w:shd w:val="clear" w:color="auto" w:fill="FFFFFF"/>
              </w:rPr>
              <w:t xml:space="preserve">Australian Federation of Disability Organisations </w:t>
            </w:r>
          </w:p>
        </w:tc>
        <w:tc>
          <w:tcPr>
            <w:tcW w:w="6657" w:type="dxa"/>
          </w:tcPr>
          <w:p w:rsidR="00CC5638" w:rsidRPr="006757FD" w:rsidRDefault="001A6490" w:rsidP="00287F49">
            <w:pPr>
              <w:rPr>
                <w:rFonts w:cs="Arial"/>
                <w:shd w:val="clear" w:color="auto" w:fill="FFFFFF"/>
              </w:rPr>
            </w:pPr>
            <w:r w:rsidRPr="006757FD">
              <w:rPr>
                <w:rFonts w:cs="Arial"/>
                <w:shd w:val="clear" w:color="auto" w:fill="FFFFFF"/>
              </w:rPr>
              <w:t>AFDO is the peak organisation in the disability sector representing people with lived experience of disability. </w:t>
            </w:r>
          </w:p>
        </w:tc>
        <w:tc>
          <w:tcPr>
            <w:tcW w:w="3691" w:type="dxa"/>
          </w:tcPr>
          <w:p w:rsidR="001A6490" w:rsidRPr="006757FD" w:rsidRDefault="00A638DD" w:rsidP="00287F49">
            <w:pPr>
              <w:rPr>
                <w:rFonts w:cs="Arial"/>
                <w:shd w:val="clear" w:color="auto" w:fill="FFFFFF"/>
              </w:rPr>
            </w:pPr>
            <w:hyperlink r:id="rId13" w:history="1">
              <w:r w:rsidR="00390AA6" w:rsidRPr="006757FD">
                <w:rPr>
                  <w:rStyle w:val="Hyperlink"/>
                  <w:rFonts w:cs="Arial"/>
                  <w:color w:val="auto"/>
                  <w:shd w:val="clear" w:color="auto" w:fill="FFFFFF"/>
                </w:rPr>
                <w:t>http://www.afdo.org.au/about-us/</w:t>
              </w:r>
            </w:hyperlink>
          </w:p>
          <w:p w:rsidR="00390AA6" w:rsidRPr="006757FD" w:rsidRDefault="00390AA6" w:rsidP="00287F49">
            <w:pPr>
              <w:rPr>
                <w:rFonts w:cs="Arial"/>
                <w:shd w:val="clear" w:color="auto" w:fill="FFFFFF"/>
              </w:rPr>
            </w:pPr>
          </w:p>
        </w:tc>
      </w:tr>
      <w:tr w:rsidR="006757FD" w:rsidRPr="006757FD" w:rsidTr="00565E7C">
        <w:tc>
          <w:tcPr>
            <w:tcW w:w="1113" w:type="dxa"/>
          </w:tcPr>
          <w:p w:rsidR="00F379AB" w:rsidRPr="006757FD" w:rsidRDefault="00F379AB" w:rsidP="00287F49">
            <w:r w:rsidRPr="006757FD">
              <w:t>AMAZE</w:t>
            </w:r>
          </w:p>
        </w:tc>
        <w:tc>
          <w:tcPr>
            <w:tcW w:w="3140" w:type="dxa"/>
          </w:tcPr>
          <w:p w:rsidR="00F379AB" w:rsidRPr="006757FD" w:rsidRDefault="00CC5638" w:rsidP="00287F49">
            <w:pPr>
              <w:rPr>
                <w:rFonts w:cs="Arial"/>
                <w:shd w:val="clear" w:color="auto" w:fill="FFFFFF"/>
              </w:rPr>
            </w:pPr>
            <w:r w:rsidRPr="006757FD">
              <w:rPr>
                <w:rFonts w:cs="Arial"/>
                <w:shd w:val="clear" w:color="auto" w:fill="FFFFFF"/>
              </w:rPr>
              <w:t xml:space="preserve">Previously Autism Victoria </w:t>
            </w:r>
            <w:proofErr w:type="spellStart"/>
            <w:r w:rsidRPr="006757FD">
              <w:rPr>
                <w:rFonts w:cs="Arial"/>
                <w:shd w:val="clear" w:color="auto" w:fill="FFFFFF"/>
              </w:rPr>
              <w:t>Inc</w:t>
            </w:r>
            <w:proofErr w:type="spellEnd"/>
          </w:p>
        </w:tc>
        <w:tc>
          <w:tcPr>
            <w:tcW w:w="6657" w:type="dxa"/>
          </w:tcPr>
          <w:p w:rsidR="00F379AB" w:rsidRPr="006757FD" w:rsidRDefault="00540DA7" w:rsidP="00287F49">
            <w:pPr>
              <w:rPr>
                <w:rFonts w:cs="Arial"/>
                <w:shd w:val="clear" w:color="auto" w:fill="FFFFFF"/>
              </w:rPr>
            </w:pPr>
            <w:r w:rsidRPr="006757FD">
              <w:rPr>
                <w:rFonts w:cs="Arial"/>
                <w:shd w:val="clear" w:color="auto" w:fill="FFFFFF"/>
              </w:rPr>
              <w:t>Amaze is the peak body for people on the autism spectrum and their supporters in Victoria.</w:t>
            </w:r>
          </w:p>
        </w:tc>
        <w:tc>
          <w:tcPr>
            <w:tcW w:w="3691" w:type="dxa"/>
          </w:tcPr>
          <w:p w:rsidR="00F379AB" w:rsidRPr="006757FD" w:rsidRDefault="00A638DD" w:rsidP="00287F49">
            <w:pPr>
              <w:rPr>
                <w:rFonts w:cs="Arial"/>
                <w:shd w:val="clear" w:color="auto" w:fill="FFFFFF"/>
              </w:rPr>
            </w:pPr>
            <w:hyperlink r:id="rId14" w:history="1">
              <w:r w:rsidR="00DC4F71" w:rsidRPr="006757FD">
                <w:rPr>
                  <w:rStyle w:val="Hyperlink"/>
                  <w:rFonts w:cs="Arial"/>
                  <w:color w:val="auto"/>
                  <w:shd w:val="clear" w:color="auto" w:fill="FFFFFF"/>
                </w:rPr>
                <w:t>http://www.amaze.org.au/</w:t>
              </w:r>
            </w:hyperlink>
          </w:p>
        </w:tc>
      </w:tr>
      <w:tr w:rsidR="006757FD" w:rsidRPr="006757FD" w:rsidTr="00565E7C">
        <w:tc>
          <w:tcPr>
            <w:tcW w:w="1113" w:type="dxa"/>
          </w:tcPr>
          <w:p w:rsidR="00F945D2" w:rsidRPr="006757FD" w:rsidRDefault="00F945D2" w:rsidP="00287F49">
            <w:r w:rsidRPr="006757FD">
              <w:t>AND</w:t>
            </w:r>
          </w:p>
        </w:tc>
        <w:tc>
          <w:tcPr>
            <w:tcW w:w="3140" w:type="dxa"/>
          </w:tcPr>
          <w:p w:rsidR="00F945D2" w:rsidRPr="006757FD" w:rsidRDefault="00F945D2" w:rsidP="00287F49">
            <w:r w:rsidRPr="006757FD">
              <w:t>Australian Network on Disability</w:t>
            </w:r>
          </w:p>
        </w:tc>
        <w:tc>
          <w:tcPr>
            <w:tcW w:w="6657" w:type="dxa"/>
          </w:tcPr>
          <w:p w:rsidR="00F945D2" w:rsidRPr="006757FD" w:rsidRDefault="0012762B" w:rsidP="00494272">
            <w:r w:rsidRPr="006757FD">
              <w:rPr>
                <w:rFonts w:cs="Arial"/>
                <w:shd w:val="clear" w:color="auto" w:fill="FFFFFF"/>
              </w:rPr>
              <w:t>AND is a national, membership based organisation that makes it easier for organisations to welcome people with disability in all aspects of business.</w:t>
            </w:r>
          </w:p>
        </w:tc>
        <w:tc>
          <w:tcPr>
            <w:tcW w:w="3691" w:type="dxa"/>
          </w:tcPr>
          <w:p w:rsidR="00F945D2" w:rsidRPr="006757FD" w:rsidRDefault="00A638DD" w:rsidP="00287F49">
            <w:hyperlink r:id="rId15" w:history="1">
              <w:r w:rsidR="00390AA6" w:rsidRPr="006757FD">
                <w:rPr>
                  <w:rStyle w:val="Hyperlink"/>
                  <w:color w:val="auto"/>
                </w:rPr>
                <w:t>https://www.and.org.au/</w:t>
              </w:r>
            </w:hyperlink>
          </w:p>
          <w:p w:rsidR="00390AA6" w:rsidRPr="006757FD" w:rsidRDefault="00390AA6" w:rsidP="00287F49"/>
        </w:tc>
      </w:tr>
      <w:tr w:rsidR="006757FD" w:rsidRPr="006757FD" w:rsidTr="00565E7C">
        <w:tc>
          <w:tcPr>
            <w:tcW w:w="1113" w:type="dxa"/>
          </w:tcPr>
          <w:p w:rsidR="007A589D" w:rsidRPr="006757FD" w:rsidRDefault="007A589D" w:rsidP="00287F49">
            <w:r w:rsidRPr="006757FD">
              <w:t>AT</w:t>
            </w:r>
          </w:p>
        </w:tc>
        <w:tc>
          <w:tcPr>
            <w:tcW w:w="3140" w:type="dxa"/>
          </w:tcPr>
          <w:p w:rsidR="007A589D" w:rsidRPr="006757FD" w:rsidRDefault="007A589D" w:rsidP="00287F49">
            <w:pPr>
              <w:rPr>
                <w:rFonts w:cs="Arial"/>
                <w:shd w:val="clear" w:color="auto" w:fill="FFFFFF"/>
              </w:rPr>
            </w:pPr>
            <w:r w:rsidRPr="006757FD">
              <w:rPr>
                <w:rFonts w:cs="Arial"/>
                <w:shd w:val="clear" w:color="auto" w:fill="FFFFFF"/>
              </w:rPr>
              <w:t>Assistive Technology</w:t>
            </w:r>
          </w:p>
        </w:tc>
        <w:tc>
          <w:tcPr>
            <w:tcW w:w="6657" w:type="dxa"/>
          </w:tcPr>
          <w:p w:rsidR="007A589D" w:rsidRPr="006757FD" w:rsidRDefault="009011DD" w:rsidP="009A4373">
            <w:pPr>
              <w:rPr>
                <w:rFonts w:cs="Arial"/>
                <w:shd w:val="clear" w:color="auto" w:fill="FFFFFF"/>
              </w:rPr>
            </w:pPr>
            <w:r w:rsidRPr="006757FD">
              <w:rPr>
                <w:rFonts w:cs="Arial"/>
                <w:shd w:val="clear" w:color="auto" w:fill="FFFFFF"/>
              </w:rPr>
              <w:t>AT is any products, equipment, and systems that enhance learning, working, and daily living for persons with disabilities.</w:t>
            </w:r>
          </w:p>
        </w:tc>
        <w:tc>
          <w:tcPr>
            <w:tcW w:w="3691" w:type="dxa"/>
          </w:tcPr>
          <w:p w:rsidR="007A589D" w:rsidRPr="006757FD" w:rsidRDefault="00A638DD" w:rsidP="00287F49">
            <w:pPr>
              <w:rPr>
                <w:rFonts w:cs="Arial"/>
                <w:shd w:val="clear" w:color="auto" w:fill="FFFFFF"/>
              </w:rPr>
            </w:pPr>
            <w:hyperlink r:id="rId16" w:history="1">
              <w:r w:rsidR="00390AA6" w:rsidRPr="006757FD">
                <w:rPr>
                  <w:rStyle w:val="Hyperlink"/>
                  <w:rFonts w:cs="Arial"/>
                  <w:color w:val="auto"/>
                  <w:shd w:val="clear" w:color="auto" w:fill="FFFFFF"/>
                </w:rPr>
                <w:t>https://www.atia.org/at-resources/what-is-at/</w:t>
              </w:r>
            </w:hyperlink>
          </w:p>
          <w:p w:rsidR="00390AA6" w:rsidRPr="006757FD" w:rsidRDefault="00390AA6" w:rsidP="00287F49">
            <w:pPr>
              <w:rPr>
                <w:rFonts w:cs="Arial"/>
                <w:shd w:val="clear" w:color="auto" w:fill="FFFFFF"/>
              </w:rPr>
            </w:pPr>
          </w:p>
        </w:tc>
      </w:tr>
      <w:tr w:rsidR="006757FD" w:rsidRPr="006757FD" w:rsidTr="00565E7C">
        <w:tc>
          <w:tcPr>
            <w:tcW w:w="1113" w:type="dxa"/>
          </w:tcPr>
          <w:p w:rsidR="00401B8B" w:rsidRPr="006757FD" w:rsidRDefault="00401B8B" w:rsidP="00287F49">
            <w:r w:rsidRPr="006757FD">
              <w:t>ATAR</w:t>
            </w:r>
          </w:p>
        </w:tc>
        <w:tc>
          <w:tcPr>
            <w:tcW w:w="3140" w:type="dxa"/>
          </w:tcPr>
          <w:p w:rsidR="00401B8B" w:rsidRPr="006757FD" w:rsidRDefault="00401B8B" w:rsidP="00287F49">
            <w:pPr>
              <w:rPr>
                <w:rFonts w:cs="Arial"/>
                <w:shd w:val="clear" w:color="auto" w:fill="FFFFFF"/>
              </w:rPr>
            </w:pPr>
            <w:r w:rsidRPr="006757FD">
              <w:rPr>
                <w:rFonts w:cs="Arial"/>
                <w:shd w:val="clear" w:color="auto" w:fill="FFFFFF"/>
              </w:rPr>
              <w:t>Australian Tertiary Admission Rank</w:t>
            </w:r>
          </w:p>
        </w:tc>
        <w:tc>
          <w:tcPr>
            <w:tcW w:w="6657" w:type="dxa"/>
          </w:tcPr>
          <w:p w:rsidR="00401B8B" w:rsidRPr="006757FD" w:rsidRDefault="00401B8B" w:rsidP="009A4373">
            <w:pPr>
              <w:rPr>
                <w:rFonts w:cs="Arial"/>
                <w:shd w:val="clear" w:color="auto" w:fill="FFFFFF"/>
              </w:rPr>
            </w:pPr>
            <w:r w:rsidRPr="006757FD">
              <w:rPr>
                <w:rFonts w:cs="Arial"/>
                <w:shd w:val="clear" w:color="auto" w:fill="FFFFFF"/>
              </w:rPr>
              <w:t>The Australian Tertiary Admission Rank (ATAR) is the primary criterion for entry into most undergraduate-entry university programs in Australia.</w:t>
            </w:r>
          </w:p>
        </w:tc>
        <w:tc>
          <w:tcPr>
            <w:tcW w:w="3691" w:type="dxa"/>
          </w:tcPr>
          <w:p w:rsidR="00401B8B" w:rsidRPr="006757FD" w:rsidRDefault="00A638DD" w:rsidP="00287F49">
            <w:hyperlink r:id="rId17" w:history="1">
              <w:r w:rsidR="00401B8B" w:rsidRPr="006757FD">
                <w:rPr>
                  <w:rStyle w:val="Hyperlink"/>
                  <w:color w:val="auto"/>
                </w:rPr>
                <w:t>http://www.vtac.edu.au/results-offers/atar-explained.html</w:t>
              </w:r>
            </w:hyperlink>
          </w:p>
          <w:p w:rsidR="00401B8B" w:rsidRPr="006757FD" w:rsidRDefault="00401B8B" w:rsidP="00287F49"/>
        </w:tc>
      </w:tr>
      <w:tr w:rsidR="006757FD" w:rsidRPr="006757FD" w:rsidTr="00565E7C">
        <w:tc>
          <w:tcPr>
            <w:tcW w:w="1113" w:type="dxa"/>
          </w:tcPr>
          <w:p w:rsidR="00515029" w:rsidRPr="006757FD" w:rsidRDefault="00515029" w:rsidP="00287F49">
            <w:r w:rsidRPr="006757FD">
              <w:t>ATEND</w:t>
            </w:r>
          </w:p>
        </w:tc>
        <w:tc>
          <w:tcPr>
            <w:tcW w:w="3140" w:type="dxa"/>
          </w:tcPr>
          <w:p w:rsidR="00515029" w:rsidRPr="006757FD" w:rsidRDefault="00515029" w:rsidP="00287F49">
            <w:r w:rsidRPr="006757FD">
              <w:t>Australian Tertiary Education Network on Disability</w:t>
            </w:r>
          </w:p>
        </w:tc>
        <w:tc>
          <w:tcPr>
            <w:tcW w:w="6657" w:type="dxa"/>
          </w:tcPr>
          <w:p w:rsidR="00515029" w:rsidRPr="006757FD" w:rsidRDefault="00BC4FBA" w:rsidP="00287F49">
            <w:r w:rsidRPr="006757FD">
              <w:rPr>
                <w:rFonts w:cs="Arial"/>
                <w:shd w:val="clear" w:color="auto" w:fill="FFFFFF"/>
              </w:rPr>
              <w:t>ATEND is the peak professional body for Disability Practitioners in the Tertiary Education and Training sector.</w:t>
            </w:r>
          </w:p>
        </w:tc>
        <w:tc>
          <w:tcPr>
            <w:tcW w:w="3691" w:type="dxa"/>
          </w:tcPr>
          <w:p w:rsidR="00515029" w:rsidRPr="006757FD" w:rsidRDefault="00A638DD" w:rsidP="00287F49">
            <w:hyperlink r:id="rId18" w:history="1">
              <w:r w:rsidR="00390AA6" w:rsidRPr="006757FD">
                <w:rPr>
                  <w:rStyle w:val="Hyperlink"/>
                  <w:color w:val="auto"/>
                </w:rPr>
                <w:t>https://www.atend.com.au/</w:t>
              </w:r>
            </w:hyperlink>
          </w:p>
          <w:p w:rsidR="00390AA6" w:rsidRPr="006757FD" w:rsidRDefault="00390AA6" w:rsidP="00287F49"/>
        </w:tc>
      </w:tr>
    </w:tbl>
    <w:p w:rsidR="00820A54" w:rsidRPr="006757FD" w:rsidRDefault="00820A54">
      <w:r w:rsidRPr="006757FD">
        <w:br w:type="page"/>
      </w:r>
    </w:p>
    <w:p w:rsidR="00820A54" w:rsidRPr="006757FD" w:rsidRDefault="00820A54"/>
    <w:tbl>
      <w:tblPr>
        <w:tblStyle w:val="TableGrid"/>
        <w:tblW w:w="14601" w:type="dxa"/>
        <w:tblInd w:w="-289" w:type="dxa"/>
        <w:tblLayout w:type="fixed"/>
        <w:tblLook w:val="04A0" w:firstRow="1" w:lastRow="0" w:firstColumn="1" w:lastColumn="0" w:noHBand="0" w:noVBand="1"/>
      </w:tblPr>
      <w:tblGrid>
        <w:gridCol w:w="1113"/>
        <w:gridCol w:w="3140"/>
        <w:gridCol w:w="6657"/>
        <w:gridCol w:w="3691"/>
      </w:tblGrid>
      <w:tr w:rsidR="006757FD" w:rsidRPr="006757FD" w:rsidTr="00234C83">
        <w:tc>
          <w:tcPr>
            <w:tcW w:w="1113" w:type="dxa"/>
            <w:shd w:val="clear" w:color="auto" w:fill="D0CECE" w:themeFill="background2" w:themeFillShade="E6"/>
          </w:tcPr>
          <w:p w:rsidR="00820A54" w:rsidRPr="006757FD" w:rsidRDefault="00820A54" w:rsidP="00234C83">
            <w:r w:rsidRPr="006757FD">
              <w:t>Acronym</w:t>
            </w:r>
          </w:p>
        </w:tc>
        <w:tc>
          <w:tcPr>
            <w:tcW w:w="3140" w:type="dxa"/>
            <w:shd w:val="clear" w:color="auto" w:fill="D0CECE" w:themeFill="background2" w:themeFillShade="E6"/>
          </w:tcPr>
          <w:p w:rsidR="00820A54" w:rsidRPr="006757FD" w:rsidRDefault="00820A54" w:rsidP="00234C83">
            <w:r w:rsidRPr="006757FD">
              <w:t>Title</w:t>
            </w:r>
          </w:p>
        </w:tc>
        <w:tc>
          <w:tcPr>
            <w:tcW w:w="6657" w:type="dxa"/>
            <w:shd w:val="clear" w:color="auto" w:fill="D0CECE" w:themeFill="background2" w:themeFillShade="E6"/>
          </w:tcPr>
          <w:p w:rsidR="00820A54" w:rsidRPr="006757FD" w:rsidRDefault="00820A54" w:rsidP="00234C83">
            <w:r w:rsidRPr="006757FD">
              <w:t>Description</w:t>
            </w:r>
          </w:p>
        </w:tc>
        <w:tc>
          <w:tcPr>
            <w:tcW w:w="3691" w:type="dxa"/>
            <w:shd w:val="clear" w:color="auto" w:fill="D0CECE" w:themeFill="background2" w:themeFillShade="E6"/>
          </w:tcPr>
          <w:p w:rsidR="00820A54" w:rsidRPr="006757FD" w:rsidRDefault="00820A54" w:rsidP="00234C83">
            <w:r w:rsidRPr="006757FD">
              <w:t>Website</w:t>
            </w:r>
          </w:p>
        </w:tc>
      </w:tr>
      <w:tr w:rsidR="006757FD" w:rsidRPr="006757FD" w:rsidTr="00820A54">
        <w:tc>
          <w:tcPr>
            <w:tcW w:w="1113" w:type="dxa"/>
          </w:tcPr>
          <w:p w:rsidR="00B0167D" w:rsidRPr="006757FD" w:rsidRDefault="00B0167D" w:rsidP="00287F49">
            <w:r w:rsidRPr="006757FD">
              <w:t>ATSI</w:t>
            </w:r>
          </w:p>
        </w:tc>
        <w:tc>
          <w:tcPr>
            <w:tcW w:w="3140" w:type="dxa"/>
          </w:tcPr>
          <w:p w:rsidR="00B0167D" w:rsidRPr="006757FD" w:rsidRDefault="00B0167D" w:rsidP="00287F49">
            <w:r w:rsidRPr="006757FD">
              <w:t xml:space="preserve">Aboriginal and Torres Strait Islander </w:t>
            </w:r>
          </w:p>
        </w:tc>
        <w:tc>
          <w:tcPr>
            <w:tcW w:w="6657" w:type="dxa"/>
          </w:tcPr>
          <w:p w:rsidR="00B0167D" w:rsidRPr="006757FD" w:rsidRDefault="00B0167D" w:rsidP="00287F49">
            <w:r w:rsidRPr="006757FD">
              <w:t>Aboriginal and Torres Strait Islander people</w:t>
            </w:r>
          </w:p>
        </w:tc>
        <w:tc>
          <w:tcPr>
            <w:tcW w:w="3691" w:type="dxa"/>
          </w:tcPr>
          <w:p w:rsidR="00B0167D" w:rsidRPr="006757FD" w:rsidRDefault="00B0167D" w:rsidP="00287F49"/>
        </w:tc>
      </w:tr>
      <w:tr w:rsidR="006757FD" w:rsidRPr="006757FD" w:rsidTr="00820A54">
        <w:tc>
          <w:tcPr>
            <w:tcW w:w="1113" w:type="dxa"/>
          </w:tcPr>
          <w:p w:rsidR="00EF0341" w:rsidRPr="006757FD" w:rsidRDefault="00EF0341" w:rsidP="00287F49">
            <w:r w:rsidRPr="006757FD">
              <w:t>AQF</w:t>
            </w:r>
          </w:p>
        </w:tc>
        <w:tc>
          <w:tcPr>
            <w:tcW w:w="3140" w:type="dxa"/>
          </w:tcPr>
          <w:p w:rsidR="00EF0341" w:rsidRPr="006757FD" w:rsidRDefault="00EF0341" w:rsidP="00287F49">
            <w:r w:rsidRPr="006757FD">
              <w:t>Australian Qualifications Framework</w:t>
            </w:r>
          </w:p>
        </w:tc>
        <w:tc>
          <w:tcPr>
            <w:tcW w:w="6657" w:type="dxa"/>
          </w:tcPr>
          <w:p w:rsidR="00EF0341" w:rsidRPr="006757FD" w:rsidRDefault="00221AC5" w:rsidP="00287F49">
            <w:r w:rsidRPr="006757FD">
              <w:t>The AQF is the national policy for regulated qualifications in Australian education and training. It incorporates the qualifications from each education and training sector into a single comprehensive national qualifications framework.</w:t>
            </w:r>
          </w:p>
        </w:tc>
        <w:tc>
          <w:tcPr>
            <w:tcW w:w="3691" w:type="dxa"/>
          </w:tcPr>
          <w:p w:rsidR="00EF0341" w:rsidRPr="006757FD" w:rsidRDefault="00A638DD" w:rsidP="00287F49">
            <w:hyperlink r:id="rId19" w:history="1">
              <w:r w:rsidR="00221AC5" w:rsidRPr="006757FD">
                <w:rPr>
                  <w:rStyle w:val="Hyperlink"/>
                  <w:color w:val="auto"/>
                </w:rPr>
                <w:t>https://www.aqf.edu.au/</w:t>
              </w:r>
            </w:hyperlink>
          </w:p>
          <w:p w:rsidR="00221AC5" w:rsidRPr="006757FD" w:rsidRDefault="00221AC5" w:rsidP="00287F49"/>
          <w:p w:rsidR="00221AC5" w:rsidRPr="006757FD" w:rsidRDefault="00221AC5" w:rsidP="00287F49"/>
        </w:tc>
      </w:tr>
      <w:tr w:rsidR="006757FD" w:rsidRPr="006757FD" w:rsidTr="00820A54">
        <w:tc>
          <w:tcPr>
            <w:tcW w:w="1113" w:type="dxa"/>
          </w:tcPr>
          <w:p w:rsidR="00A30074" w:rsidRPr="006757FD" w:rsidRDefault="00A30074" w:rsidP="00401B8B">
            <w:r w:rsidRPr="006757FD">
              <w:br w:type="page"/>
            </w:r>
            <w:r w:rsidRPr="006757FD">
              <w:br w:type="page"/>
              <w:t>CA</w:t>
            </w:r>
          </w:p>
        </w:tc>
        <w:tc>
          <w:tcPr>
            <w:tcW w:w="3140" w:type="dxa"/>
          </w:tcPr>
          <w:p w:rsidR="00A30074" w:rsidRPr="006757FD" w:rsidRDefault="00A30074" w:rsidP="00401B8B">
            <w:r w:rsidRPr="006757FD">
              <w:t>Carers Australia</w:t>
            </w:r>
          </w:p>
        </w:tc>
        <w:tc>
          <w:tcPr>
            <w:tcW w:w="6657" w:type="dxa"/>
          </w:tcPr>
          <w:p w:rsidR="00A30074" w:rsidRPr="006757FD" w:rsidRDefault="00A30074" w:rsidP="00401B8B">
            <w:r w:rsidRPr="006757FD">
              <w:t>Carers Australia is the national peak body representing Australia’s carers, advocating on behalf of Australia’s carers to influence policies and services at a national level.</w:t>
            </w:r>
          </w:p>
        </w:tc>
        <w:tc>
          <w:tcPr>
            <w:tcW w:w="3691" w:type="dxa"/>
          </w:tcPr>
          <w:p w:rsidR="00A30074" w:rsidRPr="006757FD" w:rsidRDefault="00A638DD" w:rsidP="00401B8B">
            <w:hyperlink r:id="rId20" w:history="1">
              <w:r w:rsidR="00A30074" w:rsidRPr="006757FD">
                <w:rPr>
                  <w:rStyle w:val="Hyperlink"/>
                  <w:color w:val="auto"/>
                </w:rPr>
                <w:t>http://www.carersaustralia.com.au/</w:t>
              </w:r>
            </w:hyperlink>
          </w:p>
          <w:p w:rsidR="00A30074" w:rsidRPr="006757FD" w:rsidRDefault="00A30074" w:rsidP="00401B8B"/>
        </w:tc>
      </w:tr>
      <w:tr w:rsidR="006757FD" w:rsidRPr="006757FD" w:rsidTr="00820A54">
        <w:tc>
          <w:tcPr>
            <w:tcW w:w="1113" w:type="dxa"/>
          </w:tcPr>
          <w:p w:rsidR="00B0167D" w:rsidRPr="006757FD" w:rsidRDefault="00B0167D" w:rsidP="00287F49">
            <w:r w:rsidRPr="006757FD">
              <w:t>CALD</w:t>
            </w:r>
          </w:p>
        </w:tc>
        <w:tc>
          <w:tcPr>
            <w:tcW w:w="3140" w:type="dxa"/>
          </w:tcPr>
          <w:p w:rsidR="00B0167D" w:rsidRPr="006757FD" w:rsidRDefault="00B0167D" w:rsidP="00287F49">
            <w:r w:rsidRPr="006757FD">
              <w:t xml:space="preserve">Culturally and Linguistically Diverse </w:t>
            </w:r>
          </w:p>
        </w:tc>
        <w:tc>
          <w:tcPr>
            <w:tcW w:w="6657" w:type="dxa"/>
          </w:tcPr>
          <w:p w:rsidR="00B0167D" w:rsidRPr="006757FD" w:rsidRDefault="00B0167D" w:rsidP="00287F49">
            <w:r w:rsidRPr="006757FD">
              <w:t>A person from a culturally and linguistically diverse background</w:t>
            </w:r>
          </w:p>
        </w:tc>
        <w:tc>
          <w:tcPr>
            <w:tcW w:w="3691" w:type="dxa"/>
          </w:tcPr>
          <w:p w:rsidR="00B0167D" w:rsidRPr="006757FD" w:rsidRDefault="00B0167D" w:rsidP="00287F49"/>
        </w:tc>
      </w:tr>
      <w:tr w:rsidR="006757FD" w:rsidRPr="006757FD" w:rsidTr="00401B8B">
        <w:tc>
          <w:tcPr>
            <w:tcW w:w="1113" w:type="dxa"/>
          </w:tcPr>
          <w:p w:rsidR="00A30074" w:rsidRPr="006757FD" w:rsidRDefault="00A56262" w:rsidP="00401B8B">
            <w:r w:rsidRPr="006757FD">
              <w:t>CDAA</w:t>
            </w:r>
          </w:p>
        </w:tc>
        <w:tc>
          <w:tcPr>
            <w:tcW w:w="3140" w:type="dxa"/>
          </w:tcPr>
          <w:p w:rsidR="00A30074" w:rsidRPr="006757FD" w:rsidRDefault="00A30074" w:rsidP="00401B8B">
            <w:r w:rsidRPr="006757FD">
              <w:t>Career Development Association of Australia</w:t>
            </w:r>
          </w:p>
        </w:tc>
        <w:tc>
          <w:tcPr>
            <w:tcW w:w="6657" w:type="dxa"/>
          </w:tcPr>
          <w:p w:rsidR="00A30074" w:rsidRPr="006757FD" w:rsidRDefault="00A30074" w:rsidP="00401B8B">
            <w:r w:rsidRPr="006757FD">
              <w:t>CDAA is Australia’s largest and only cross-sectoral community of career development practitioners, with members in every state and territory and across all sectors of the profession.</w:t>
            </w:r>
          </w:p>
        </w:tc>
        <w:tc>
          <w:tcPr>
            <w:tcW w:w="3691" w:type="dxa"/>
          </w:tcPr>
          <w:p w:rsidR="00A30074" w:rsidRPr="006757FD" w:rsidRDefault="00A638DD" w:rsidP="00401B8B">
            <w:hyperlink r:id="rId21" w:history="1">
              <w:r w:rsidR="00A30074" w:rsidRPr="006757FD">
                <w:rPr>
                  <w:rStyle w:val="Hyperlink"/>
                  <w:color w:val="auto"/>
                </w:rPr>
                <w:t>https://www.cdaa.org.au/</w:t>
              </w:r>
            </w:hyperlink>
          </w:p>
          <w:p w:rsidR="00A30074" w:rsidRPr="006757FD" w:rsidRDefault="00A30074" w:rsidP="00401B8B"/>
        </w:tc>
      </w:tr>
      <w:tr w:rsidR="006757FD" w:rsidRPr="006757FD" w:rsidTr="00565E7C">
        <w:tc>
          <w:tcPr>
            <w:tcW w:w="1113" w:type="dxa"/>
          </w:tcPr>
          <w:p w:rsidR="00B0167D" w:rsidRPr="006757FD" w:rsidRDefault="00B0167D" w:rsidP="00287F49">
            <w:r w:rsidRPr="006757FD">
              <w:t>CEAV</w:t>
            </w:r>
          </w:p>
        </w:tc>
        <w:tc>
          <w:tcPr>
            <w:tcW w:w="3140" w:type="dxa"/>
          </w:tcPr>
          <w:p w:rsidR="00B0167D" w:rsidRPr="006757FD" w:rsidRDefault="00A638DD" w:rsidP="00287F49">
            <w:pPr>
              <w:pStyle w:val="Heading3"/>
              <w:shd w:val="clear" w:color="auto" w:fill="FFFFFF"/>
              <w:spacing w:before="0" w:beforeAutospacing="0" w:after="0" w:afterAutospacing="0"/>
              <w:outlineLvl w:val="2"/>
              <w:rPr>
                <w:rFonts w:asciiTheme="minorHAnsi" w:eastAsiaTheme="minorHAnsi" w:hAnsiTheme="minorHAnsi" w:cstheme="minorBidi"/>
                <w:b w:val="0"/>
                <w:bCs w:val="0"/>
                <w:sz w:val="22"/>
                <w:szCs w:val="22"/>
                <w:lang w:eastAsia="en-US"/>
              </w:rPr>
            </w:pPr>
            <w:hyperlink r:id="rId22" w:history="1">
              <w:r w:rsidR="00B0167D" w:rsidRPr="006757FD">
                <w:rPr>
                  <w:rFonts w:asciiTheme="minorHAnsi" w:eastAsiaTheme="minorHAnsi" w:hAnsiTheme="minorHAnsi" w:cstheme="minorBidi"/>
                  <w:b w:val="0"/>
                  <w:sz w:val="22"/>
                  <w:szCs w:val="22"/>
                  <w:lang w:eastAsia="en-US"/>
                </w:rPr>
                <w:t>Career Education Association of Victoria</w:t>
              </w:r>
            </w:hyperlink>
            <w:r w:rsidR="00B0167D" w:rsidRPr="006757FD">
              <w:rPr>
                <w:rFonts w:asciiTheme="minorHAnsi" w:eastAsiaTheme="minorHAnsi" w:hAnsiTheme="minorHAnsi" w:cstheme="minorBidi"/>
                <w:b w:val="0"/>
                <w:bCs w:val="0"/>
                <w:noProof/>
                <w:sz w:val="22"/>
                <w:szCs w:val="22"/>
              </w:rPr>
              <mc:AlternateContent>
                <mc:Choice Requires="wps">
                  <w:drawing>
                    <wp:inline distT="0" distB="0" distL="0" distR="0" wp14:anchorId="07AF1743" wp14:editId="631C1C2F">
                      <wp:extent cx="114300" cy="114300"/>
                      <wp:effectExtent l="0" t="0" r="0" b="0"/>
                      <wp:docPr id="1" name="Rectangle 1" descr="https://gc.kis.v2.scr.kaspersky-labs.com/1508E24F0757-114B-D45A-FACA-6F094FE5/ua/UrlAdvisorGood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8477F" id="Rectangle 1" o:spid="_x0000_s1026" alt="https://gc.kis.v2.scr.kaspersky-labs.com/1508E24F0757-114B-D45A-FACA-6F094FE5/ua/UrlAdvisorGoodImage.png"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" filled="f" stroked="f">
                      <o:lock v:ext="edit" aspectratio="t"/>
                      <w10:anchorlock/>
                    </v:rect>
                  </w:pict>
                </mc:Fallback>
              </mc:AlternateContent>
            </w:r>
          </w:p>
        </w:tc>
        <w:tc>
          <w:tcPr>
            <w:tcW w:w="6657" w:type="dxa"/>
          </w:tcPr>
          <w:p w:rsidR="00B0167D" w:rsidRPr="006757FD" w:rsidRDefault="006E1899" w:rsidP="00287F49">
            <w:r w:rsidRPr="006757FD">
              <w:t>CEAV is a not for profit association that has a purpose of the advancement of education for the public benefit, particularly in relation to career development.</w:t>
            </w:r>
          </w:p>
        </w:tc>
        <w:tc>
          <w:tcPr>
            <w:tcW w:w="3691" w:type="dxa"/>
          </w:tcPr>
          <w:p w:rsidR="00B0167D" w:rsidRPr="006757FD" w:rsidRDefault="00A638DD" w:rsidP="00287F49">
            <w:hyperlink r:id="rId23" w:history="1">
              <w:r w:rsidR="00390AA6" w:rsidRPr="006757FD">
                <w:rPr>
                  <w:rStyle w:val="Hyperlink"/>
                  <w:color w:val="auto"/>
                </w:rPr>
                <w:t>http://www.ceav.vic.edu.au/</w:t>
              </w:r>
            </w:hyperlink>
          </w:p>
          <w:p w:rsidR="00390AA6" w:rsidRPr="006757FD" w:rsidRDefault="00390AA6" w:rsidP="00287F49"/>
        </w:tc>
      </w:tr>
      <w:tr w:rsidR="006757FD" w:rsidRPr="006757FD" w:rsidTr="00565E7C">
        <w:tc>
          <w:tcPr>
            <w:tcW w:w="1113" w:type="dxa"/>
          </w:tcPr>
          <w:p w:rsidR="00D4318B" w:rsidRPr="006757FD" w:rsidRDefault="00D4318B" w:rsidP="00287F49">
            <w:r w:rsidRPr="006757FD">
              <w:t>DAP</w:t>
            </w:r>
          </w:p>
        </w:tc>
        <w:tc>
          <w:tcPr>
            <w:tcW w:w="3140" w:type="dxa"/>
          </w:tcPr>
          <w:p w:rsidR="00D4318B" w:rsidRPr="006757FD" w:rsidRDefault="00D4318B" w:rsidP="00287F49">
            <w:pPr>
              <w:pStyle w:val="Heading3"/>
              <w:shd w:val="clear" w:color="auto" w:fill="FFFFFF"/>
              <w:spacing w:before="0" w:beforeAutospacing="0" w:after="0" w:afterAutospacing="0"/>
              <w:outlineLvl w:val="2"/>
              <w:rPr>
                <w:rFonts w:asciiTheme="minorHAnsi" w:eastAsiaTheme="minorHAnsi" w:hAnsiTheme="minorHAnsi" w:cstheme="minorBidi"/>
                <w:b w:val="0"/>
                <w:bCs w:val="0"/>
                <w:sz w:val="22"/>
                <w:szCs w:val="22"/>
                <w:lang w:eastAsia="en-US"/>
              </w:rPr>
            </w:pPr>
            <w:r w:rsidRPr="006757FD">
              <w:rPr>
                <w:rFonts w:asciiTheme="minorHAnsi" w:eastAsiaTheme="minorHAnsi" w:hAnsiTheme="minorHAnsi" w:cstheme="minorBidi"/>
                <w:b w:val="0"/>
                <w:bCs w:val="0"/>
                <w:sz w:val="22"/>
                <w:szCs w:val="22"/>
                <w:lang w:eastAsia="en-US"/>
              </w:rPr>
              <w:t>Disability Action Plan</w:t>
            </w:r>
          </w:p>
        </w:tc>
        <w:tc>
          <w:tcPr>
            <w:tcW w:w="6657" w:type="dxa"/>
          </w:tcPr>
          <w:p w:rsidR="00D4318B" w:rsidRPr="006757FD" w:rsidRDefault="00D4318B" w:rsidP="00287F49">
            <w:r w:rsidRPr="006757FD">
              <w:t>A disability action plan is a strategy for implementing and monitoring inclusive policies and practices for the benefit of people with disability.</w:t>
            </w:r>
          </w:p>
        </w:tc>
        <w:tc>
          <w:tcPr>
            <w:tcW w:w="3691" w:type="dxa"/>
          </w:tcPr>
          <w:p w:rsidR="00390AA6" w:rsidRPr="006757FD" w:rsidRDefault="00A638DD" w:rsidP="00287F49">
            <w:hyperlink r:id="rId24" w:history="1">
              <w:r w:rsidR="00390AA6" w:rsidRPr="006757FD">
                <w:rPr>
                  <w:rStyle w:val="Hyperlink"/>
                  <w:color w:val="auto"/>
                </w:rPr>
                <w:t>https://www.humanrights.gov.au/our-work/disability-rights/action-plans/register-disability-discrimination-act-action-plans</w:t>
              </w:r>
            </w:hyperlink>
          </w:p>
        </w:tc>
      </w:tr>
      <w:tr w:rsidR="006757FD" w:rsidRPr="006757FD" w:rsidTr="00565E7C">
        <w:tc>
          <w:tcPr>
            <w:tcW w:w="1113" w:type="dxa"/>
          </w:tcPr>
          <w:p w:rsidR="00B0167D" w:rsidRPr="006757FD" w:rsidRDefault="00B0167D" w:rsidP="00287F49">
            <w:r w:rsidRPr="006757FD">
              <w:t>DCA</w:t>
            </w:r>
          </w:p>
        </w:tc>
        <w:tc>
          <w:tcPr>
            <w:tcW w:w="3140" w:type="dxa"/>
          </w:tcPr>
          <w:p w:rsidR="00B0167D" w:rsidRPr="006757FD" w:rsidRDefault="00B0167D" w:rsidP="00287F49">
            <w:r w:rsidRPr="006757FD">
              <w:t>Diversity Council Australia</w:t>
            </w:r>
          </w:p>
        </w:tc>
        <w:tc>
          <w:tcPr>
            <w:tcW w:w="6657" w:type="dxa"/>
          </w:tcPr>
          <w:p w:rsidR="00B0167D" w:rsidRPr="006757FD" w:rsidRDefault="00C01F10" w:rsidP="00DC424C">
            <w:r w:rsidRPr="006757FD">
              <w:t>DCA is a not</w:t>
            </w:r>
            <w:r w:rsidR="00DC424C" w:rsidRPr="006757FD">
              <w:t xml:space="preserve"> </w:t>
            </w:r>
            <w:r w:rsidRPr="006757FD">
              <w:t>for</w:t>
            </w:r>
            <w:r w:rsidR="00DC424C" w:rsidRPr="006757FD">
              <w:t xml:space="preserve"> </w:t>
            </w:r>
            <w:r w:rsidRPr="006757FD">
              <w:t>profit peak body leading diversity and inclusion in the workplace.</w:t>
            </w:r>
          </w:p>
        </w:tc>
        <w:tc>
          <w:tcPr>
            <w:tcW w:w="3691" w:type="dxa"/>
          </w:tcPr>
          <w:p w:rsidR="00B0167D" w:rsidRPr="006757FD" w:rsidRDefault="00A638DD" w:rsidP="00287F49">
            <w:hyperlink r:id="rId25" w:history="1">
              <w:r w:rsidR="00390AA6" w:rsidRPr="006757FD">
                <w:rPr>
                  <w:rStyle w:val="Hyperlink"/>
                  <w:color w:val="auto"/>
                </w:rPr>
                <w:t>https://www.dca.org.au/</w:t>
              </w:r>
            </w:hyperlink>
          </w:p>
          <w:p w:rsidR="00390AA6" w:rsidRPr="006757FD" w:rsidRDefault="00390AA6" w:rsidP="00287F49"/>
        </w:tc>
      </w:tr>
      <w:tr w:rsidR="006757FD" w:rsidRPr="006757FD" w:rsidTr="00565E7C">
        <w:tc>
          <w:tcPr>
            <w:tcW w:w="1113" w:type="dxa"/>
          </w:tcPr>
          <w:p w:rsidR="00B0167D" w:rsidRPr="006757FD" w:rsidRDefault="00B0167D" w:rsidP="00287F49">
            <w:r w:rsidRPr="006757FD">
              <w:t>DDA</w:t>
            </w:r>
          </w:p>
        </w:tc>
        <w:tc>
          <w:tcPr>
            <w:tcW w:w="3140" w:type="dxa"/>
          </w:tcPr>
          <w:p w:rsidR="00B0167D" w:rsidRPr="006757FD" w:rsidRDefault="00B0167D" w:rsidP="00287F49">
            <w:r w:rsidRPr="006757FD">
              <w:t>Disability Discrimination Act 1992</w:t>
            </w:r>
          </w:p>
        </w:tc>
        <w:tc>
          <w:tcPr>
            <w:tcW w:w="6657" w:type="dxa"/>
          </w:tcPr>
          <w:p w:rsidR="00B0167D" w:rsidRPr="006757FD" w:rsidRDefault="00EB0D23" w:rsidP="00287F49">
            <w:r w:rsidRPr="006757FD">
              <w:t>The DDA was an act passed by the Parliament of Australia in 1992 which prohibits discrimination against persons with disabilities in employment, education, publicly available premises, provision of goods and services, accommodation, clubs and associations, and other contexts.</w:t>
            </w:r>
          </w:p>
        </w:tc>
        <w:tc>
          <w:tcPr>
            <w:tcW w:w="3691" w:type="dxa"/>
          </w:tcPr>
          <w:p w:rsidR="00EB0D23" w:rsidRPr="006757FD" w:rsidRDefault="00A638DD" w:rsidP="00287F49">
            <w:hyperlink r:id="rId26" w:history="1">
              <w:r w:rsidR="00390AA6" w:rsidRPr="006757FD">
                <w:rPr>
                  <w:rStyle w:val="Hyperlink"/>
                  <w:color w:val="auto"/>
                </w:rPr>
                <w:t>https://www.legislation.gov.au/Details/C2017C00339</w:t>
              </w:r>
            </w:hyperlink>
          </w:p>
          <w:p w:rsidR="00390AA6" w:rsidRPr="006757FD" w:rsidRDefault="00390AA6" w:rsidP="00287F49"/>
        </w:tc>
      </w:tr>
      <w:tr w:rsidR="006757FD" w:rsidRPr="006757FD" w:rsidTr="00565E7C">
        <w:tc>
          <w:tcPr>
            <w:tcW w:w="1113" w:type="dxa"/>
          </w:tcPr>
          <w:p w:rsidR="00B0167D" w:rsidRPr="006757FD" w:rsidRDefault="00720928" w:rsidP="00287F49">
            <w:r w:rsidRPr="006757FD">
              <w:t>DEA</w:t>
            </w:r>
          </w:p>
        </w:tc>
        <w:tc>
          <w:tcPr>
            <w:tcW w:w="3140" w:type="dxa"/>
          </w:tcPr>
          <w:p w:rsidR="00B0167D" w:rsidRPr="006757FD" w:rsidRDefault="00B0167D" w:rsidP="00287F49">
            <w:r w:rsidRPr="006757FD">
              <w:t xml:space="preserve">Disability Employment </w:t>
            </w:r>
            <w:r w:rsidR="00A840D5" w:rsidRPr="006757FD">
              <w:t>Australia</w:t>
            </w:r>
          </w:p>
        </w:tc>
        <w:tc>
          <w:tcPr>
            <w:tcW w:w="6657" w:type="dxa"/>
          </w:tcPr>
          <w:p w:rsidR="00B0167D" w:rsidRPr="006757FD" w:rsidRDefault="00A840D5" w:rsidP="00287F49">
            <w:r w:rsidRPr="006757FD">
              <w:t>Disability Employment Australia is the peak industry body for Australia's Disability Employment Services (DES).</w:t>
            </w:r>
          </w:p>
        </w:tc>
        <w:tc>
          <w:tcPr>
            <w:tcW w:w="3691" w:type="dxa"/>
          </w:tcPr>
          <w:p w:rsidR="00B0167D" w:rsidRPr="006757FD" w:rsidRDefault="00A638DD" w:rsidP="00287F49">
            <w:hyperlink r:id="rId27" w:history="1">
              <w:r w:rsidR="00B0167D" w:rsidRPr="006757FD">
                <w:rPr>
                  <w:rStyle w:val="Hyperlink"/>
                  <w:color w:val="auto"/>
                </w:rPr>
                <w:t>https://disabilityemployment.org.au/</w:t>
              </w:r>
            </w:hyperlink>
          </w:p>
          <w:p w:rsidR="00390AA6" w:rsidRPr="006757FD" w:rsidRDefault="00390AA6" w:rsidP="00287F49"/>
        </w:tc>
      </w:tr>
      <w:tr w:rsidR="006757FD" w:rsidRPr="006757FD" w:rsidTr="00565E7C">
        <w:tc>
          <w:tcPr>
            <w:tcW w:w="1113" w:type="dxa"/>
          </w:tcPr>
          <w:p w:rsidR="00B0167D" w:rsidRPr="006757FD" w:rsidRDefault="00B0167D" w:rsidP="00287F49">
            <w:r w:rsidRPr="006757FD">
              <w:t>DES</w:t>
            </w:r>
          </w:p>
        </w:tc>
        <w:tc>
          <w:tcPr>
            <w:tcW w:w="3140" w:type="dxa"/>
          </w:tcPr>
          <w:p w:rsidR="00B0167D" w:rsidRPr="006757FD" w:rsidRDefault="00B0167D" w:rsidP="00287F49">
            <w:r w:rsidRPr="006757FD">
              <w:t>Disability Employment Service</w:t>
            </w:r>
          </w:p>
        </w:tc>
        <w:tc>
          <w:tcPr>
            <w:tcW w:w="6657" w:type="dxa"/>
          </w:tcPr>
          <w:p w:rsidR="00B0167D" w:rsidRPr="006757FD" w:rsidRDefault="00A840D5" w:rsidP="00287F49">
            <w:r w:rsidRPr="006757FD">
              <w:t>DES helps people with disability find work and keep a job.</w:t>
            </w:r>
          </w:p>
        </w:tc>
        <w:tc>
          <w:tcPr>
            <w:tcW w:w="3691" w:type="dxa"/>
          </w:tcPr>
          <w:p w:rsidR="00390AA6" w:rsidRPr="006757FD" w:rsidRDefault="00A638DD" w:rsidP="00287F49">
            <w:hyperlink r:id="rId28" w:history="1">
              <w:r w:rsidR="00390AA6" w:rsidRPr="006757FD">
                <w:rPr>
                  <w:rStyle w:val="Hyperlink"/>
                  <w:color w:val="auto"/>
                </w:rPr>
                <w:t>https://www.employment.gov.au/disability-employment-services</w:t>
              </w:r>
            </w:hyperlink>
          </w:p>
        </w:tc>
      </w:tr>
    </w:tbl>
    <w:p w:rsidR="00820A54" w:rsidRPr="006757FD" w:rsidRDefault="00820A54">
      <w:r w:rsidRPr="006757FD">
        <w:br w:type="page"/>
      </w:r>
    </w:p>
    <w:p w:rsidR="00820A54" w:rsidRPr="006757FD" w:rsidRDefault="00820A54"/>
    <w:tbl>
      <w:tblPr>
        <w:tblStyle w:val="TableGrid"/>
        <w:tblW w:w="14601" w:type="dxa"/>
        <w:tblInd w:w="-289" w:type="dxa"/>
        <w:tblLayout w:type="fixed"/>
        <w:tblLook w:val="04A0" w:firstRow="1" w:lastRow="0" w:firstColumn="1" w:lastColumn="0" w:noHBand="0" w:noVBand="1"/>
      </w:tblPr>
      <w:tblGrid>
        <w:gridCol w:w="1113"/>
        <w:gridCol w:w="3140"/>
        <w:gridCol w:w="6657"/>
        <w:gridCol w:w="3691"/>
      </w:tblGrid>
      <w:tr w:rsidR="006757FD" w:rsidRPr="006757FD" w:rsidTr="00234C83">
        <w:tc>
          <w:tcPr>
            <w:tcW w:w="1113" w:type="dxa"/>
            <w:shd w:val="clear" w:color="auto" w:fill="D0CECE" w:themeFill="background2" w:themeFillShade="E6"/>
          </w:tcPr>
          <w:p w:rsidR="00820A54" w:rsidRPr="006757FD" w:rsidRDefault="00820A54" w:rsidP="00234C83">
            <w:r w:rsidRPr="006757FD">
              <w:t>Acronym</w:t>
            </w:r>
          </w:p>
        </w:tc>
        <w:tc>
          <w:tcPr>
            <w:tcW w:w="3140" w:type="dxa"/>
            <w:shd w:val="clear" w:color="auto" w:fill="D0CECE" w:themeFill="background2" w:themeFillShade="E6"/>
          </w:tcPr>
          <w:p w:rsidR="00820A54" w:rsidRPr="006757FD" w:rsidRDefault="00820A54" w:rsidP="00234C83">
            <w:r w:rsidRPr="006757FD">
              <w:t>Title</w:t>
            </w:r>
          </w:p>
        </w:tc>
        <w:tc>
          <w:tcPr>
            <w:tcW w:w="6657" w:type="dxa"/>
            <w:shd w:val="clear" w:color="auto" w:fill="D0CECE" w:themeFill="background2" w:themeFillShade="E6"/>
          </w:tcPr>
          <w:p w:rsidR="00820A54" w:rsidRPr="006757FD" w:rsidRDefault="00820A54" w:rsidP="00234C83">
            <w:r w:rsidRPr="006757FD">
              <w:t>Description</w:t>
            </w:r>
          </w:p>
        </w:tc>
        <w:tc>
          <w:tcPr>
            <w:tcW w:w="3691" w:type="dxa"/>
            <w:shd w:val="clear" w:color="auto" w:fill="D0CECE" w:themeFill="background2" w:themeFillShade="E6"/>
          </w:tcPr>
          <w:p w:rsidR="00820A54" w:rsidRPr="006757FD" w:rsidRDefault="00820A54" w:rsidP="00234C83">
            <w:r w:rsidRPr="006757FD">
              <w:t>Website</w:t>
            </w:r>
          </w:p>
        </w:tc>
      </w:tr>
      <w:tr w:rsidR="006757FD" w:rsidRPr="006757FD" w:rsidTr="00820A54">
        <w:tc>
          <w:tcPr>
            <w:tcW w:w="1113" w:type="dxa"/>
          </w:tcPr>
          <w:p w:rsidR="00B0167D" w:rsidRPr="006757FD" w:rsidRDefault="00B0167D" w:rsidP="00287F49">
            <w:r w:rsidRPr="006757FD">
              <w:t>DET</w:t>
            </w:r>
          </w:p>
        </w:tc>
        <w:tc>
          <w:tcPr>
            <w:tcW w:w="3140" w:type="dxa"/>
          </w:tcPr>
          <w:p w:rsidR="00B0167D" w:rsidRPr="006757FD" w:rsidRDefault="00B0167D" w:rsidP="00287F49">
            <w:r w:rsidRPr="006757FD">
              <w:t>Department of Education and Training</w:t>
            </w:r>
          </w:p>
        </w:tc>
        <w:tc>
          <w:tcPr>
            <w:tcW w:w="6657" w:type="dxa"/>
          </w:tcPr>
          <w:p w:rsidR="00B0167D" w:rsidRPr="006757FD" w:rsidRDefault="00DC424C" w:rsidP="00DC424C">
            <w:r w:rsidRPr="006757FD">
              <w:rPr>
                <w:rFonts w:cs="Arial"/>
                <w:shd w:val="clear" w:color="auto" w:fill="FFFFFF"/>
              </w:rPr>
              <w:t>DET</w:t>
            </w:r>
            <w:r w:rsidR="004B6ADD" w:rsidRPr="006757FD">
              <w:rPr>
                <w:rFonts w:cs="Arial"/>
                <w:shd w:val="clear" w:color="auto" w:fill="FFFFFF"/>
              </w:rPr>
              <w:t xml:space="preserve"> is responsible for national policies and programs that help Australians access quality and affordable early child care and childhood education, school education, higher education, vocational education and training, international education and research.</w:t>
            </w:r>
          </w:p>
        </w:tc>
        <w:tc>
          <w:tcPr>
            <w:tcW w:w="3691" w:type="dxa"/>
          </w:tcPr>
          <w:p w:rsidR="00B0167D" w:rsidRPr="006757FD" w:rsidRDefault="00A638DD" w:rsidP="00287F49">
            <w:hyperlink r:id="rId29" w:history="1">
              <w:r w:rsidR="00390AA6" w:rsidRPr="006757FD">
                <w:rPr>
                  <w:rStyle w:val="Hyperlink"/>
                  <w:color w:val="auto"/>
                </w:rPr>
                <w:t>https://www.education.gov.au/</w:t>
              </w:r>
            </w:hyperlink>
          </w:p>
          <w:p w:rsidR="00390AA6" w:rsidRPr="006757FD" w:rsidRDefault="00390AA6" w:rsidP="00287F49"/>
        </w:tc>
      </w:tr>
      <w:tr w:rsidR="006757FD" w:rsidRPr="006757FD" w:rsidTr="00820A54">
        <w:tc>
          <w:tcPr>
            <w:tcW w:w="1113" w:type="dxa"/>
          </w:tcPr>
          <w:p w:rsidR="004B6ADD" w:rsidRPr="006757FD" w:rsidRDefault="004B6ADD" w:rsidP="00287F49">
            <w:r w:rsidRPr="006757FD">
              <w:t>DET Vic</w:t>
            </w:r>
          </w:p>
        </w:tc>
        <w:tc>
          <w:tcPr>
            <w:tcW w:w="3140" w:type="dxa"/>
          </w:tcPr>
          <w:p w:rsidR="004B6ADD" w:rsidRPr="006757FD" w:rsidRDefault="004B6ADD" w:rsidP="00287F49">
            <w:r w:rsidRPr="006757FD">
              <w:t>Department of Education and Training Victoria</w:t>
            </w:r>
          </w:p>
        </w:tc>
        <w:tc>
          <w:tcPr>
            <w:tcW w:w="6657" w:type="dxa"/>
          </w:tcPr>
          <w:p w:rsidR="004B6ADD" w:rsidRPr="006757FD" w:rsidRDefault="00DC424C" w:rsidP="00287F49">
            <w:pPr>
              <w:rPr>
                <w:rFonts w:cs="Arial"/>
                <w:shd w:val="clear" w:color="auto" w:fill="FFFFFF"/>
              </w:rPr>
            </w:pPr>
            <w:r w:rsidRPr="006757FD">
              <w:rPr>
                <w:rFonts w:cs="Arial"/>
                <w:shd w:val="clear" w:color="auto" w:fill="FFFFFF"/>
              </w:rPr>
              <w:t>DET Vic</w:t>
            </w:r>
            <w:r w:rsidR="004B6ADD" w:rsidRPr="006757FD">
              <w:rPr>
                <w:rFonts w:cs="Arial"/>
                <w:shd w:val="clear" w:color="auto" w:fill="FFFFFF"/>
              </w:rPr>
              <w:t xml:space="preserve"> offers learning and development support, services and resources for all Victorians, from birth through to adulthood.</w:t>
            </w:r>
          </w:p>
        </w:tc>
        <w:tc>
          <w:tcPr>
            <w:tcW w:w="3691" w:type="dxa"/>
          </w:tcPr>
          <w:p w:rsidR="00390AA6" w:rsidRPr="006757FD" w:rsidRDefault="00A638DD" w:rsidP="00287F49">
            <w:hyperlink r:id="rId30" w:history="1">
              <w:r w:rsidR="00390AA6" w:rsidRPr="006757FD">
                <w:rPr>
                  <w:rStyle w:val="Hyperlink"/>
                  <w:color w:val="auto"/>
                </w:rPr>
                <w:t>http://www.education.vic.gov.au/Pages/default.aspx</w:t>
              </w:r>
            </w:hyperlink>
          </w:p>
        </w:tc>
      </w:tr>
      <w:tr w:rsidR="006757FD" w:rsidRPr="006757FD" w:rsidTr="00820A54">
        <w:tc>
          <w:tcPr>
            <w:tcW w:w="1113" w:type="dxa"/>
          </w:tcPr>
          <w:p w:rsidR="00B0167D" w:rsidRPr="006757FD" w:rsidRDefault="00B0167D" w:rsidP="00287F49">
            <w:r w:rsidRPr="006757FD">
              <w:t>DHHS</w:t>
            </w:r>
          </w:p>
        </w:tc>
        <w:tc>
          <w:tcPr>
            <w:tcW w:w="3140" w:type="dxa"/>
          </w:tcPr>
          <w:p w:rsidR="00B0167D" w:rsidRPr="006757FD" w:rsidRDefault="00B0167D" w:rsidP="00287F49">
            <w:r w:rsidRPr="006757FD">
              <w:t>Department of Health and Human Services</w:t>
            </w:r>
            <w:r w:rsidR="009F458C" w:rsidRPr="006757FD">
              <w:t xml:space="preserve"> Vic</w:t>
            </w:r>
          </w:p>
        </w:tc>
        <w:tc>
          <w:tcPr>
            <w:tcW w:w="6657" w:type="dxa"/>
          </w:tcPr>
          <w:p w:rsidR="00B0167D" w:rsidRPr="006757FD" w:rsidRDefault="009F458C" w:rsidP="00287F49">
            <w:r w:rsidRPr="006757FD">
              <w:t>Victorian State Government deliver policies, programs and services that support and enhance the health and wellbeing of all Victorians.</w:t>
            </w:r>
          </w:p>
        </w:tc>
        <w:tc>
          <w:tcPr>
            <w:tcW w:w="3691" w:type="dxa"/>
          </w:tcPr>
          <w:p w:rsidR="00B0167D" w:rsidRPr="006757FD" w:rsidRDefault="00A638DD" w:rsidP="00287F49">
            <w:hyperlink r:id="rId31" w:history="1">
              <w:r w:rsidR="00390AA6" w:rsidRPr="006757FD">
                <w:rPr>
                  <w:rStyle w:val="Hyperlink"/>
                  <w:color w:val="auto"/>
                </w:rPr>
                <w:t>https://dhhs.vic.gov.au/</w:t>
              </w:r>
            </w:hyperlink>
          </w:p>
          <w:p w:rsidR="00390AA6" w:rsidRPr="006757FD" w:rsidRDefault="00390AA6" w:rsidP="00287F49"/>
        </w:tc>
      </w:tr>
      <w:tr w:rsidR="006757FD" w:rsidRPr="006757FD" w:rsidTr="00820A54">
        <w:tc>
          <w:tcPr>
            <w:tcW w:w="1113" w:type="dxa"/>
          </w:tcPr>
          <w:p w:rsidR="009F458C" w:rsidRPr="006757FD" w:rsidRDefault="009F458C" w:rsidP="00287F49">
            <w:r w:rsidRPr="006757FD">
              <w:t>DHS</w:t>
            </w:r>
          </w:p>
        </w:tc>
        <w:tc>
          <w:tcPr>
            <w:tcW w:w="3140" w:type="dxa"/>
          </w:tcPr>
          <w:p w:rsidR="009F458C" w:rsidRPr="006757FD" w:rsidRDefault="009F458C" w:rsidP="00287F49">
            <w:r w:rsidRPr="006757FD">
              <w:t>Department of Human Services</w:t>
            </w:r>
          </w:p>
        </w:tc>
        <w:tc>
          <w:tcPr>
            <w:tcW w:w="6657" w:type="dxa"/>
          </w:tcPr>
          <w:p w:rsidR="009F458C" w:rsidRPr="006757FD" w:rsidRDefault="009F458C" w:rsidP="00287F49">
            <w:r w:rsidRPr="006757FD">
              <w:t>Australian Government delivers social and health payments and services</w:t>
            </w:r>
            <w:r w:rsidR="00DC424C" w:rsidRPr="006757FD">
              <w:t>.</w:t>
            </w:r>
          </w:p>
        </w:tc>
        <w:tc>
          <w:tcPr>
            <w:tcW w:w="3691" w:type="dxa"/>
          </w:tcPr>
          <w:p w:rsidR="009F458C" w:rsidRPr="006757FD" w:rsidRDefault="00A638DD" w:rsidP="00287F49">
            <w:hyperlink r:id="rId32" w:history="1">
              <w:r w:rsidR="00390AA6" w:rsidRPr="006757FD">
                <w:rPr>
                  <w:rStyle w:val="Hyperlink"/>
                  <w:color w:val="auto"/>
                </w:rPr>
                <w:t>https://www.humanservices.gov.au/</w:t>
              </w:r>
            </w:hyperlink>
          </w:p>
          <w:p w:rsidR="00390AA6" w:rsidRPr="006757FD" w:rsidRDefault="00390AA6" w:rsidP="00287F49"/>
        </w:tc>
      </w:tr>
      <w:tr w:rsidR="006757FD" w:rsidRPr="006757FD" w:rsidTr="00565E7C">
        <w:tc>
          <w:tcPr>
            <w:tcW w:w="1113" w:type="dxa"/>
          </w:tcPr>
          <w:p w:rsidR="00B0167D" w:rsidRPr="006757FD" w:rsidRDefault="00B0167D" w:rsidP="00287F49">
            <w:r w:rsidRPr="006757FD">
              <w:t>DLO</w:t>
            </w:r>
          </w:p>
        </w:tc>
        <w:tc>
          <w:tcPr>
            <w:tcW w:w="3140" w:type="dxa"/>
          </w:tcPr>
          <w:p w:rsidR="00B0167D" w:rsidRPr="006757FD" w:rsidRDefault="00B0167D" w:rsidP="00287F49">
            <w:r w:rsidRPr="006757FD">
              <w:t>Disability Liaison Officer</w:t>
            </w:r>
          </w:p>
        </w:tc>
        <w:tc>
          <w:tcPr>
            <w:tcW w:w="6657" w:type="dxa"/>
          </w:tcPr>
          <w:p w:rsidR="00651F41" w:rsidRPr="006757FD" w:rsidRDefault="00651F41" w:rsidP="00287F49">
            <w:r w:rsidRPr="006757FD">
              <w:rPr>
                <w:rFonts w:cs="Arial"/>
                <w:shd w:val="clear" w:color="auto" w:fill="FFFFFF"/>
              </w:rPr>
              <w:t>The DLO main duties are: To support students with disabilities studying at TAFE or University; To provide advice and support for staff in meeting the needs of students with disabilities; To provide strategic advice within their organisation to assist their TAFE institute in meeting its legislative responsibilities</w:t>
            </w:r>
            <w:r w:rsidR="00DC424C" w:rsidRPr="006757FD">
              <w:rPr>
                <w:rFonts w:cs="Arial"/>
                <w:shd w:val="clear" w:color="auto" w:fill="FFFFFF"/>
              </w:rPr>
              <w:t>.</w:t>
            </w:r>
          </w:p>
        </w:tc>
        <w:tc>
          <w:tcPr>
            <w:tcW w:w="3691" w:type="dxa"/>
          </w:tcPr>
          <w:p w:rsidR="00B0167D" w:rsidRPr="006757FD" w:rsidRDefault="00A638DD" w:rsidP="00287F49">
            <w:hyperlink r:id="rId33" w:history="1">
              <w:r w:rsidR="00DC424C" w:rsidRPr="006757FD">
                <w:rPr>
                  <w:rStyle w:val="Hyperlink"/>
                  <w:color w:val="auto"/>
                </w:rPr>
                <w:t>https://www.adcet.edu.au/resource/2867/tafe-victoria-disability-liaison-officers/</w:t>
              </w:r>
            </w:hyperlink>
          </w:p>
          <w:p w:rsidR="00DC424C" w:rsidRPr="006757FD" w:rsidRDefault="00DC424C" w:rsidP="00287F49"/>
        </w:tc>
      </w:tr>
      <w:tr w:rsidR="006757FD" w:rsidRPr="006757FD" w:rsidTr="00565E7C">
        <w:tc>
          <w:tcPr>
            <w:tcW w:w="1113" w:type="dxa"/>
          </w:tcPr>
          <w:p w:rsidR="00B0167D" w:rsidRPr="006757FD" w:rsidRDefault="00B0167D" w:rsidP="00287F49">
            <w:r w:rsidRPr="006757FD">
              <w:t>DMS</w:t>
            </w:r>
          </w:p>
        </w:tc>
        <w:tc>
          <w:tcPr>
            <w:tcW w:w="3140" w:type="dxa"/>
          </w:tcPr>
          <w:p w:rsidR="00B0167D" w:rsidRPr="006757FD" w:rsidRDefault="00B0167D" w:rsidP="00287F49">
            <w:r w:rsidRPr="006757FD">
              <w:t>Disability Management Services</w:t>
            </w:r>
          </w:p>
        </w:tc>
        <w:tc>
          <w:tcPr>
            <w:tcW w:w="6657" w:type="dxa"/>
          </w:tcPr>
          <w:p w:rsidR="00B0167D" w:rsidRPr="006757FD" w:rsidRDefault="00F5132E" w:rsidP="00287F49">
            <w:r w:rsidRPr="006757FD">
              <w:t xml:space="preserve">DMS is for job seekers with disability, injury or health condition who need assistance to find a job and occasional support to keep a job, through </w:t>
            </w:r>
            <w:r w:rsidR="00D57C3A" w:rsidRPr="006757FD">
              <w:t xml:space="preserve">a </w:t>
            </w:r>
            <w:r w:rsidRPr="006757FD">
              <w:t>DES.</w:t>
            </w:r>
          </w:p>
        </w:tc>
        <w:tc>
          <w:tcPr>
            <w:tcW w:w="3691" w:type="dxa"/>
          </w:tcPr>
          <w:p w:rsidR="00B0167D" w:rsidRPr="006757FD" w:rsidRDefault="00A638DD" w:rsidP="00287F49">
            <w:hyperlink r:id="rId34" w:history="1">
              <w:r w:rsidR="00390AA6" w:rsidRPr="006757FD">
                <w:rPr>
                  <w:rStyle w:val="Hyperlink"/>
                  <w:color w:val="auto"/>
                </w:rPr>
                <w:t>https://www.employment.gov.au/disability-employment-services</w:t>
              </w:r>
            </w:hyperlink>
          </w:p>
          <w:p w:rsidR="00390AA6" w:rsidRPr="006757FD" w:rsidRDefault="00390AA6" w:rsidP="00287F49"/>
        </w:tc>
      </w:tr>
      <w:tr w:rsidR="006757FD" w:rsidRPr="006757FD" w:rsidTr="00565E7C">
        <w:tc>
          <w:tcPr>
            <w:tcW w:w="1113" w:type="dxa"/>
          </w:tcPr>
          <w:p w:rsidR="00EF3693" w:rsidRPr="006757FD" w:rsidRDefault="00EF3693" w:rsidP="00287F49">
            <w:r w:rsidRPr="006757FD">
              <w:t>DP</w:t>
            </w:r>
          </w:p>
        </w:tc>
        <w:tc>
          <w:tcPr>
            <w:tcW w:w="3140" w:type="dxa"/>
          </w:tcPr>
          <w:p w:rsidR="00EF3693" w:rsidRPr="006757FD" w:rsidRDefault="00EF3693" w:rsidP="00287F49">
            <w:r w:rsidRPr="006757FD">
              <w:t>Disability Practitioner</w:t>
            </w:r>
          </w:p>
        </w:tc>
        <w:tc>
          <w:tcPr>
            <w:tcW w:w="6657" w:type="dxa"/>
          </w:tcPr>
          <w:p w:rsidR="00EF3693" w:rsidRPr="006757FD" w:rsidRDefault="00EF3693" w:rsidP="00287F49">
            <w:r w:rsidRPr="006757FD">
              <w:t xml:space="preserve">Also known as Disability Liaison Officer, Disability Advisor, Integration Coordinator, Teacher Consultant or Disability Officer, </w:t>
            </w:r>
          </w:p>
        </w:tc>
        <w:tc>
          <w:tcPr>
            <w:tcW w:w="3691" w:type="dxa"/>
          </w:tcPr>
          <w:p w:rsidR="00EF3693" w:rsidRPr="006757FD" w:rsidRDefault="00EF3693" w:rsidP="00287F49"/>
        </w:tc>
      </w:tr>
      <w:tr w:rsidR="006757FD" w:rsidRPr="006757FD" w:rsidTr="00401B8B">
        <w:tc>
          <w:tcPr>
            <w:tcW w:w="1113" w:type="dxa"/>
          </w:tcPr>
          <w:p w:rsidR="00A30074" w:rsidRPr="006757FD" w:rsidRDefault="00A30074" w:rsidP="00401B8B">
            <w:r w:rsidRPr="006757FD">
              <w:t>DSA</w:t>
            </w:r>
          </w:p>
        </w:tc>
        <w:tc>
          <w:tcPr>
            <w:tcW w:w="3140" w:type="dxa"/>
          </w:tcPr>
          <w:p w:rsidR="00A30074" w:rsidRPr="006757FD" w:rsidRDefault="00A30074" w:rsidP="00401B8B">
            <w:r w:rsidRPr="006757FD">
              <w:t>Disability Services Australia</w:t>
            </w:r>
          </w:p>
        </w:tc>
        <w:tc>
          <w:tcPr>
            <w:tcW w:w="6657" w:type="dxa"/>
          </w:tcPr>
          <w:p w:rsidR="00A30074" w:rsidRPr="006757FD" w:rsidRDefault="00A30074" w:rsidP="00401B8B">
            <w:r w:rsidRPr="006757FD">
              <w:rPr>
                <w:rFonts w:cs="Arial"/>
                <w:shd w:val="clear" w:color="auto" w:fill="FFFFFF"/>
              </w:rPr>
              <w:t>DSA support people to develop the skills and capabilities they need to participate in society and contribute to the economy. Our purpose is to support the lives of people with a disability by enabling opportunities for choice, inclusion and achievement at home, in the community, through education and training and in employment.</w:t>
            </w:r>
          </w:p>
        </w:tc>
        <w:tc>
          <w:tcPr>
            <w:tcW w:w="3691" w:type="dxa"/>
          </w:tcPr>
          <w:p w:rsidR="00A30074" w:rsidRPr="006757FD" w:rsidRDefault="00A638DD" w:rsidP="00401B8B">
            <w:hyperlink r:id="rId35" w:history="1">
              <w:r w:rsidR="00A30074" w:rsidRPr="006757FD">
                <w:rPr>
                  <w:rStyle w:val="Hyperlink"/>
                  <w:color w:val="auto"/>
                </w:rPr>
                <w:t>http://www.dsa.org.au/Pages/Home.aspx</w:t>
              </w:r>
            </w:hyperlink>
          </w:p>
          <w:p w:rsidR="00A30074" w:rsidRPr="006757FD" w:rsidRDefault="00A30074" w:rsidP="00401B8B"/>
        </w:tc>
      </w:tr>
      <w:tr w:rsidR="006757FD" w:rsidRPr="006757FD" w:rsidTr="00565E7C">
        <w:tc>
          <w:tcPr>
            <w:tcW w:w="1113" w:type="dxa"/>
          </w:tcPr>
          <w:p w:rsidR="00B0167D" w:rsidRPr="006757FD" w:rsidRDefault="00B0167D" w:rsidP="00287F49">
            <w:r w:rsidRPr="006757FD">
              <w:t>DSC</w:t>
            </w:r>
          </w:p>
        </w:tc>
        <w:tc>
          <w:tcPr>
            <w:tcW w:w="3140" w:type="dxa"/>
          </w:tcPr>
          <w:p w:rsidR="00B0167D" w:rsidRPr="006757FD" w:rsidRDefault="00B0167D" w:rsidP="00287F49">
            <w:r w:rsidRPr="006757FD">
              <w:t>Disability Services Consulting</w:t>
            </w:r>
          </w:p>
        </w:tc>
        <w:tc>
          <w:tcPr>
            <w:tcW w:w="6657" w:type="dxa"/>
          </w:tcPr>
          <w:p w:rsidR="00B0167D" w:rsidRPr="006757FD" w:rsidRDefault="00DC424C" w:rsidP="00287F49">
            <w:r w:rsidRPr="006757FD">
              <w:t>C</w:t>
            </w:r>
            <w:r w:rsidR="00510801" w:rsidRPr="006757FD">
              <w:t xml:space="preserve">onsultants </w:t>
            </w:r>
            <w:r w:rsidRPr="006757FD">
              <w:t xml:space="preserve">specialising in NDIS </w:t>
            </w:r>
            <w:r w:rsidR="00510801" w:rsidRPr="006757FD">
              <w:t>- NDIS strategy, readiness, transformation, business modelling, t</w:t>
            </w:r>
            <w:r w:rsidR="0064008D" w:rsidRPr="006757FD">
              <w:t xml:space="preserve">raining or anything NDIS relate, </w:t>
            </w:r>
            <w:r w:rsidR="00510801" w:rsidRPr="006757FD">
              <w:t>subject matter expertise on disability housing, employment, marketing, finan</w:t>
            </w:r>
            <w:r w:rsidR="0064008D" w:rsidRPr="006757FD">
              <w:t>ce, ILC or support coordination.</w:t>
            </w:r>
          </w:p>
        </w:tc>
        <w:tc>
          <w:tcPr>
            <w:tcW w:w="3691" w:type="dxa"/>
          </w:tcPr>
          <w:p w:rsidR="00B0167D" w:rsidRPr="006757FD" w:rsidRDefault="00A638DD" w:rsidP="00287F49">
            <w:hyperlink r:id="rId36" w:history="1">
              <w:r w:rsidR="00B0167D" w:rsidRPr="006757FD">
                <w:rPr>
                  <w:rStyle w:val="Hyperlink"/>
                  <w:color w:val="auto"/>
                </w:rPr>
                <w:t>http://www.disabilityservicesconsulting.com.au/</w:t>
              </w:r>
            </w:hyperlink>
          </w:p>
          <w:p w:rsidR="00390AA6" w:rsidRPr="006757FD" w:rsidRDefault="00390AA6" w:rsidP="00287F49"/>
        </w:tc>
      </w:tr>
    </w:tbl>
    <w:p w:rsidR="00820A54" w:rsidRPr="006757FD" w:rsidRDefault="00820A54">
      <w:r w:rsidRPr="006757FD">
        <w:br w:type="page"/>
      </w:r>
    </w:p>
    <w:p w:rsidR="00820A54" w:rsidRPr="006757FD" w:rsidRDefault="00820A54"/>
    <w:tbl>
      <w:tblPr>
        <w:tblStyle w:val="TableGrid"/>
        <w:tblW w:w="14601" w:type="dxa"/>
        <w:tblInd w:w="-289" w:type="dxa"/>
        <w:tblLayout w:type="fixed"/>
        <w:tblLook w:val="04A0" w:firstRow="1" w:lastRow="0" w:firstColumn="1" w:lastColumn="0" w:noHBand="0" w:noVBand="1"/>
      </w:tblPr>
      <w:tblGrid>
        <w:gridCol w:w="1113"/>
        <w:gridCol w:w="3140"/>
        <w:gridCol w:w="6657"/>
        <w:gridCol w:w="3691"/>
      </w:tblGrid>
      <w:tr w:rsidR="006757FD" w:rsidRPr="006757FD" w:rsidTr="00234C83">
        <w:tc>
          <w:tcPr>
            <w:tcW w:w="1113" w:type="dxa"/>
            <w:shd w:val="clear" w:color="auto" w:fill="D0CECE" w:themeFill="background2" w:themeFillShade="E6"/>
          </w:tcPr>
          <w:p w:rsidR="00820A54" w:rsidRPr="006757FD" w:rsidRDefault="00820A54" w:rsidP="00234C83">
            <w:r w:rsidRPr="006757FD">
              <w:t>Acronym</w:t>
            </w:r>
          </w:p>
        </w:tc>
        <w:tc>
          <w:tcPr>
            <w:tcW w:w="3140" w:type="dxa"/>
            <w:shd w:val="clear" w:color="auto" w:fill="D0CECE" w:themeFill="background2" w:themeFillShade="E6"/>
          </w:tcPr>
          <w:p w:rsidR="00820A54" w:rsidRPr="006757FD" w:rsidRDefault="00820A54" w:rsidP="00234C83">
            <w:r w:rsidRPr="006757FD">
              <w:t>Title</w:t>
            </w:r>
          </w:p>
        </w:tc>
        <w:tc>
          <w:tcPr>
            <w:tcW w:w="6657" w:type="dxa"/>
            <w:shd w:val="clear" w:color="auto" w:fill="D0CECE" w:themeFill="background2" w:themeFillShade="E6"/>
          </w:tcPr>
          <w:p w:rsidR="00820A54" w:rsidRPr="006757FD" w:rsidRDefault="00820A54" w:rsidP="00234C83">
            <w:r w:rsidRPr="006757FD">
              <w:t>Description</w:t>
            </w:r>
          </w:p>
        </w:tc>
        <w:tc>
          <w:tcPr>
            <w:tcW w:w="3691" w:type="dxa"/>
            <w:shd w:val="clear" w:color="auto" w:fill="D0CECE" w:themeFill="background2" w:themeFillShade="E6"/>
          </w:tcPr>
          <w:p w:rsidR="00820A54" w:rsidRPr="006757FD" w:rsidRDefault="00820A54" w:rsidP="00234C83">
            <w:r w:rsidRPr="006757FD">
              <w:t>Website</w:t>
            </w:r>
          </w:p>
        </w:tc>
      </w:tr>
      <w:tr w:rsidR="006757FD" w:rsidRPr="006757FD" w:rsidTr="00565E7C">
        <w:tc>
          <w:tcPr>
            <w:tcW w:w="1113" w:type="dxa"/>
          </w:tcPr>
          <w:p w:rsidR="00B0167D" w:rsidRPr="006757FD" w:rsidRDefault="00B0167D" w:rsidP="00287F49">
            <w:r w:rsidRPr="006757FD">
              <w:t>DSP</w:t>
            </w:r>
          </w:p>
        </w:tc>
        <w:tc>
          <w:tcPr>
            <w:tcW w:w="3140" w:type="dxa"/>
          </w:tcPr>
          <w:p w:rsidR="00B0167D" w:rsidRPr="006757FD" w:rsidRDefault="00B0167D" w:rsidP="00287F49">
            <w:r w:rsidRPr="006757FD">
              <w:t>Disability Support Pension</w:t>
            </w:r>
          </w:p>
        </w:tc>
        <w:tc>
          <w:tcPr>
            <w:tcW w:w="6657" w:type="dxa"/>
          </w:tcPr>
          <w:p w:rsidR="00B0167D" w:rsidRPr="006757FD" w:rsidRDefault="00DD455D" w:rsidP="00287F49">
            <w:pPr>
              <w:pStyle w:val="NormalWeb"/>
              <w:spacing w:before="0" w:beforeAutospacing="0" w:after="0" w:afterAutospacing="0"/>
              <w:rPr>
                <w:rFonts w:asciiTheme="minorHAnsi" w:hAnsiTheme="minorHAnsi" w:cs="Segoe UI"/>
                <w:sz w:val="22"/>
                <w:szCs w:val="22"/>
              </w:rPr>
            </w:pPr>
            <w:r w:rsidRPr="006757FD">
              <w:rPr>
                <w:rFonts w:asciiTheme="minorHAnsi" w:hAnsiTheme="minorHAnsi" w:cs="Segoe UI"/>
                <w:sz w:val="22"/>
                <w:szCs w:val="22"/>
              </w:rPr>
              <w:t xml:space="preserve">Financial help </w:t>
            </w:r>
            <w:r w:rsidR="006F1257" w:rsidRPr="006757FD">
              <w:rPr>
                <w:rFonts w:asciiTheme="minorHAnsi" w:hAnsiTheme="minorHAnsi" w:cs="Segoe UI"/>
                <w:sz w:val="22"/>
                <w:szCs w:val="22"/>
              </w:rPr>
              <w:t xml:space="preserve">through Centrelink - </w:t>
            </w:r>
            <w:r w:rsidRPr="006757FD">
              <w:rPr>
                <w:rFonts w:asciiTheme="minorHAnsi" w:hAnsiTheme="minorHAnsi" w:cs="Segoe UI"/>
                <w:sz w:val="22"/>
                <w:szCs w:val="22"/>
              </w:rPr>
              <w:t>if you have a permanent physical, intellectual or psychiatric condition that stops you from working.</w:t>
            </w:r>
          </w:p>
        </w:tc>
        <w:tc>
          <w:tcPr>
            <w:tcW w:w="3691" w:type="dxa"/>
          </w:tcPr>
          <w:p w:rsidR="00390AA6" w:rsidRPr="006757FD" w:rsidRDefault="00A638DD" w:rsidP="00287F49">
            <w:hyperlink r:id="rId37" w:history="1">
              <w:r w:rsidR="00390AA6" w:rsidRPr="006757FD">
                <w:rPr>
                  <w:rStyle w:val="Hyperlink"/>
                  <w:color w:val="auto"/>
                </w:rPr>
                <w:t>https://www.humanservices.gov.au/individuals/services/centrelink/disability-support-pension</w:t>
              </w:r>
            </w:hyperlink>
          </w:p>
        </w:tc>
      </w:tr>
      <w:tr w:rsidR="006757FD" w:rsidRPr="006757FD" w:rsidTr="00565E7C">
        <w:tc>
          <w:tcPr>
            <w:tcW w:w="1113" w:type="dxa"/>
          </w:tcPr>
          <w:p w:rsidR="00B0167D" w:rsidRPr="006757FD" w:rsidRDefault="00B0167D" w:rsidP="00287F49">
            <w:r w:rsidRPr="006757FD">
              <w:t>EAF</w:t>
            </w:r>
          </w:p>
        </w:tc>
        <w:tc>
          <w:tcPr>
            <w:tcW w:w="3140" w:type="dxa"/>
          </w:tcPr>
          <w:p w:rsidR="00B0167D" w:rsidRPr="006757FD" w:rsidRDefault="00B0167D" w:rsidP="00287F49">
            <w:r w:rsidRPr="006757FD">
              <w:t>Employment Assistan</w:t>
            </w:r>
            <w:r w:rsidR="008B03BF" w:rsidRPr="006757FD">
              <w:t>ce</w:t>
            </w:r>
            <w:r w:rsidRPr="006757FD">
              <w:t xml:space="preserve"> Fund</w:t>
            </w:r>
          </w:p>
        </w:tc>
        <w:tc>
          <w:tcPr>
            <w:tcW w:w="6657" w:type="dxa"/>
          </w:tcPr>
          <w:p w:rsidR="00B0167D" w:rsidRPr="006757FD" w:rsidRDefault="008B03BF" w:rsidP="00287F49">
            <w:r w:rsidRPr="006757FD">
              <w:t>The EAF gives financial help to eligible people with disability and mental health condition and employers to buy work related modifications and services.</w:t>
            </w:r>
          </w:p>
        </w:tc>
        <w:tc>
          <w:tcPr>
            <w:tcW w:w="3691" w:type="dxa"/>
          </w:tcPr>
          <w:p w:rsidR="00B0167D" w:rsidRPr="006757FD" w:rsidRDefault="00A638DD" w:rsidP="00287F49">
            <w:hyperlink r:id="rId38" w:history="1">
              <w:r w:rsidR="00390AA6" w:rsidRPr="006757FD">
                <w:rPr>
                  <w:rStyle w:val="Hyperlink"/>
                  <w:color w:val="auto"/>
                </w:rPr>
                <w:t>https://www.jobaccess.gov.au/employment-assistance-fund-eaf</w:t>
              </w:r>
            </w:hyperlink>
          </w:p>
          <w:p w:rsidR="00390AA6" w:rsidRPr="006757FD" w:rsidRDefault="00390AA6" w:rsidP="00287F49"/>
        </w:tc>
      </w:tr>
      <w:tr w:rsidR="006757FD" w:rsidRPr="006757FD" w:rsidTr="00565E7C">
        <w:tc>
          <w:tcPr>
            <w:tcW w:w="1113" w:type="dxa"/>
          </w:tcPr>
          <w:p w:rsidR="00B0167D" w:rsidRPr="006757FD" w:rsidRDefault="00B0167D" w:rsidP="00287F49">
            <w:r w:rsidRPr="006757FD">
              <w:t>EPP</w:t>
            </w:r>
          </w:p>
        </w:tc>
        <w:tc>
          <w:tcPr>
            <w:tcW w:w="3140" w:type="dxa"/>
          </w:tcPr>
          <w:p w:rsidR="00B0167D" w:rsidRPr="006757FD" w:rsidRDefault="00B0167D" w:rsidP="00287F49">
            <w:r w:rsidRPr="006757FD">
              <w:t>Employment Pathway Plan</w:t>
            </w:r>
            <w:r w:rsidR="00AC3629" w:rsidRPr="006757FD">
              <w:t xml:space="preserve"> – now known as Job Plan</w:t>
            </w:r>
          </w:p>
        </w:tc>
        <w:tc>
          <w:tcPr>
            <w:tcW w:w="6657" w:type="dxa"/>
          </w:tcPr>
          <w:p w:rsidR="00B0167D" w:rsidRPr="006757FD" w:rsidRDefault="00AC3629" w:rsidP="00287F49">
            <w:r w:rsidRPr="006757FD">
              <w:t>The Job Plan records items for the job seeker to undertake or participate in such as, job search requirements, the requirement to attend provider appointments, the requirement to attend job interviews with prospective employers and to act on any referrals from employment services providers to specific job opportunities.</w:t>
            </w:r>
          </w:p>
        </w:tc>
        <w:tc>
          <w:tcPr>
            <w:tcW w:w="3691" w:type="dxa"/>
          </w:tcPr>
          <w:p w:rsidR="00B0167D" w:rsidRPr="006757FD" w:rsidRDefault="00A638DD" w:rsidP="00287F49">
            <w:hyperlink r:id="rId39" w:history="1">
              <w:r w:rsidR="00390AA6" w:rsidRPr="006757FD">
                <w:rPr>
                  <w:rStyle w:val="Hyperlink"/>
                  <w:color w:val="auto"/>
                </w:rPr>
                <w:t>http://guides.dss.gov.au/guide-social-security-law/3/2/8/30</w:t>
              </w:r>
            </w:hyperlink>
          </w:p>
          <w:p w:rsidR="00390AA6" w:rsidRPr="006757FD" w:rsidRDefault="00390AA6" w:rsidP="00287F49"/>
        </w:tc>
      </w:tr>
      <w:tr w:rsidR="006757FD" w:rsidRPr="006757FD" w:rsidTr="00565E7C">
        <w:tc>
          <w:tcPr>
            <w:tcW w:w="1113" w:type="dxa"/>
          </w:tcPr>
          <w:p w:rsidR="00B0167D" w:rsidRPr="006757FD" w:rsidRDefault="006F1257" w:rsidP="00287F49">
            <w:proofErr w:type="spellStart"/>
            <w:r w:rsidRPr="006757FD">
              <w:t>ESAt</w:t>
            </w:r>
            <w:proofErr w:type="spellEnd"/>
          </w:p>
        </w:tc>
        <w:tc>
          <w:tcPr>
            <w:tcW w:w="3140" w:type="dxa"/>
          </w:tcPr>
          <w:p w:rsidR="00B0167D" w:rsidRPr="006757FD" w:rsidRDefault="00B0167D" w:rsidP="006F1257">
            <w:r w:rsidRPr="006757FD">
              <w:t xml:space="preserve">Employment Services Assessment </w:t>
            </w:r>
            <w:r w:rsidR="00A712A6" w:rsidRPr="006757FD">
              <w:t>previously known as JCA – Job Capacity Assessment</w:t>
            </w:r>
          </w:p>
        </w:tc>
        <w:tc>
          <w:tcPr>
            <w:tcW w:w="6657" w:type="dxa"/>
          </w:tcPr>
          <w:p w:rsidR="00B0167D" w:rsidRPr="006757FD" w:rsidRDefault="006475AC" w:rsidP="00287F49">
            <w:r w:rsidRPr="006757FD">
              <w:rPr>
                <w:rFonts w:cs="Segoe UI"/>
              </w:rPr>
              <w:t>The assessment helps Centrelink to understand the person’s ability to work and the best employment services program for individual circumstances.</w:t>
            </w:r>
          </w:p>
        </w:tc>
        <w:tc>
          <w:tcPr>
            <w:tcW w:w="3691" w:type="dxa"/>
          </w:tcPr>
          <w:p w:rsidR="00390AA6" w:rsidRPr="006757FD" w:rsidRDefault="00A638DD" w:rsidP="00287F49">
            <w:hyperlink r:id="rId40" w:anchor="a1" w:history="1">
              <w:r w:rsidR="00390AA6" w:rsidRPr="006757FD">
                <w:rPr>
                  <w:rStyle w:val="Hyperlink"/>
                  <w:color w:val="auto"/>
                </w:rPr>
                <w:t>https://www.humanservices.gov.au/individuals/enablers/employment-services-assessments#a1</w:t>
              </w:r>
            </w:hyperlink>
          </w:p>
        </w:tc>
      </w:tr>
      <w:tr w:rsidR="006757FD" w:rsidRPr="006757FD" w:rsidTr="00565E7C">
        <w:tc>
          <w:tcPr>
            <w:tcW w:w="1113" w:type="dxa"/>
          </w:tcPr>
          <w:p w:rsidR="00B0167D" w:rsidRPr="006757FD" w:rsidRDefault="00B0167D" w:rsidP="00287F49">
            <w:r w:rsidRPr="006757FD">
              <w:t>ESL</w:t>
            </w:r>
          </w:p>
        </w:tc>
        <w:tc>
          <w:tcPr>
            <w:tcW w:w="3140" w:type="dxa"/>
          </w:tcPr>
          <w:p w:rsidR="00B0167D" w:rsidRPr="006757FD" w:rsidRDefault="00B0167D" w:rsidP="00287F49">
            <w:r w:rsidRPr="006757FD">
              <w:t>E</w:t>
            </w:r>
            <w:r w:rsidR="00363EBA" w:rsidRPr="006757FD">
              <w:t>arly</w:t>
            </w:r>
            <w:r w:rsidRPr="006757FD">
              <w:t xml:space="preserve"> School Leavers</w:t>
            </w:r>
          </w:p>
        </w:tc>
        <w:tc>
          <w:tcPr>
            <w:tcW w:w="6657" w:type="dxa"/>
          </w:tcPr>
          <w:p w:rsidR="00B0167D" w:rsidRPr="006757FD" w:rsidRDefault="007F6D00" w:rsidP="00287F49">
            <w:r w:rsidRPr="006757FD">
              <w:t xml:space="preserve">ESL policy in DES is to assist students with significant disability to transition from school to post-school open employment. </w:t>
            </w:r>
          </w:p>
        </w:tc>
        <w:tc>
          <w:tcPr>
            <w:tcW w:w="3691" w:type="dxa"/>
          </w:tcPr>
          <w:p w:rsidR="00390AA6" w:rsidRPr="006757FD" w:rsidRDefault="00A638DD" w:rsidP="00287F49">
            <w:hyperlink r:id="rId41" w:history="1">
              <w:r w:rsidR="00390AA6" w:rsidRPr="006757FD">
                <w:rPr>
                  <w:rStyle w:val="Hyperlink"/>
                  <w:color w:val="auto"/>
                </w:rPr>
                <w:t>https://www.employment.gov.au/engaging-early-school-leavers</w:t>
              </w:r>
            </w:hyperlink>
          </w:p>
        </w:tc>
      </w:tr>
      <w:tr w:rsidR="006757FD" w:rsidRPr="006757FD" w:rsidTr="00565E7C">
        <w:tc>
          <w:tcPr>
            <w:tcW w:w="1113" w:type="dxa"/>
          </w:tcPr>
          <w:p w:rsidR="00D57C3A" w:rsidRPr="006757FD" w:rsidRDefault="00D57C3A" w:rsidP="00287F49">
            <w:r w:rsidRPr="006757FD">
              <w:t>ESS</w:t>
            </w:r>
          </w:p>
        </w:tc>
        <w:tc>
          <w:tcPr>
            <w:tcW w:w="3140" w:type="dxa"/>
          </w:tcPr>
          <w:p w:rsidR="00D57C3A" w:rsidRPr="006757FD" w:rsidRDefault="00D57C3A" w:rsidP="00287F49">
            <w:r w:rsidRPr="006757FD">
              <w:t>Employment Support Services</w:t>
            </w:r>
          </w:p>
        </w:tc>
        <w:tc>
          <w:tcPr>
            <w:tcW w:w="6657" w:type="dxa"/>
          </w:tcPr>
          <w:p w:rsidR="00D57C3A" w:rsidRPr="006757FD" w:rsidRDefault="00D57C3A" w:rsidP="00287F49">
            <w:r w:rsidRPr="006757FD">
              <w:t>ESS provides assistance to people with permanent disability and who need regular, ongoing support to keep a job, through a DES</w:t>
            </w:r>
            <w:r w:rsidR="0012275F" w:rsidRPr="006757FD">
              <w:t xml:space="preserve"> provider.</w:t>
            </w:r>
          </w:p>
        </w:tc>
        <w:tc>
          <w:tcPr>
            <w:tcW w:w="3691" w:type="dxa"/>
          </w:tcPr>
          <w:p w:rsidR="00506EF2" w:rsidRPr="006757FD" w:rsidRDefault="00A638DD" w:rsidP="00287F49">
            <w:hyperlink r:id="rId42" w:history="1">
              <w:r w:rsidR="00506EF2" w:rsidRPr="006757FD">
                <w:rPr>
                  <w:rStyle w:val="Hyperlink"/>
                  <w:color w:val="auto"/>
                </w:rPr>
                <w:t>https://www.humanservices.gov.au/individuals/services/centrelink/disability-employment-services</w:t>
              </w:r>
            </w:hyperlink>
          </w:p>
        </w:tc>
      </w:tr>
      <w:tr w:rsidR="006757FD" w:rsidRPr="006757FD" w:rsidTr="00565E7C">
        <w:tc>
          <w:tcPr>
            <w:tcW w:w="1113" w:type="dxa"/>
          </w:tcPr>
          <w:p w:rsidR="00B0167D" w:rsidRPr="006757FD" w:rsidRDefault="00B0167D" w:rsidP="00287F49">
            <w:r w:rsidRPr="006757FD">
              <w:t>FFYA</w:t>
            </w:r>
          </w:p>
        </w:tc>
        <w:tc>
          <w:tcPr>
            <w:tcW w:w="3140" w:type="dxa"/>
          </w:tcPr>
          <w:p w:rsidR="00B0167D" w:rsidRPr="006757FD" w:rsidRDefault="00B0167D" w:rsidP="00287F49">
            <w:r w:rsidRPr="006757FD">
              <w:t>Futures for Young Adults</w:t>
            </w:r>
          </w:p>
        </w:tc>
        <w:tc>
          <w:tcPr>
            <w:tcW w:w="6657" w:type="dxa"/>
          </w:tcPr>
          <w:p w:rsidR="00B0167D" w:rsidRPr="006757FD" w:rsidRDefault="00266363" w:rsidP="00287F49">
            <w:r w:rsidRPr="006757FD">
              <w:t>FFYA program provides support to students with a disability who need additional assistance to make the transition to post-school options. The program is available to eligible students from when they complete school until they turn 21.</w:t>
            </w:r>
          </w:p>
          <w:p w:rsidR="00266363" w:rsidRPr="006757FD" w:rsidRDefault="00266363" w:rsidP="00287F49">
            <w:r w:rsidRPr="006757FD">
              <w:t>This will be superseded by NDIS when available in your area.</w:t>
            </w:r>
          </w:p>
        </w:tc>
        <w:tc>
          <w:tcPr>
            <w:tcW w:w="3691" w:type="dxa"/>
          </w:tcPr>
          <w:p w:rsidR="00ED7B24" w:rsidRPr="006757FD" w:rsidRDefault="00A638DD" w:rsidP="00287F49">
            <w:hyperlink r:id="rId43" w:history="1">
              <w:r w:rsidR="00ED7B24" w:rsidRPr="006757FD">
                <w:rPr>
                  <w:rStyle w:val="Hyperlink"/>
                  <w:color w:val="auto"/>
                </w:rPr>
                <w:t>http://www.wallara.com.au/wp-content/uploads/2017/03/2017-school-leavers-and-the-National-Disability-Insurance-Scheme.pdf</w:t>
              </w:r>
            </w:hyperlink>
          </w:p>
          <w:p w:rsidR="00ED7B24" w:rsidRPr="006757FD" w:rsidRDefault="00ED7B24" w:rsidP="00287F49"/>
        </w:tc>
      </w:tr>
      <w:tr w:rsidR="006757FD" w:rsidRPr="006757FD" w:rsidTr="00565E7C">
        <w:tc>
          <w:tcPr>
            <w:tcW w:w="1113" w:type="dxa"/>
          </w:tcPr>
          <w:p w:rsidR="00B0167D" w:rsidRPr="006757FD" w:rsidRDefault="00B0167D" w:rsidP="00287F49">
            <w:r w:rsidRPr="006757FD">
              <w:t>HEPPP</w:t>
            </w:r>
          </w:p>
        </w:tc>
        <w:tc>
          <w:tcPr>
            <w:tcW w:w="3140" w:type="dxa"/>
          </w:tcPr>
          <w:p w:rsidR="00B0167D" w:rsidRPr="006757FD" w:rsidRDefault="00B0167D" w:rsidP="00287F49">
            <w:r w:rsidRPr="006757FD">
              <w:rPr>
                <w:rFonts w:cs="Arial"/>
                <w:shd w:val="clear" w:color="auto" w:fill="FFFFFF"/>
              </w:rPr>
              <w:t>Higher Education Partici</w:t>
            </w:r>
            <w:r w:rsidR="00AF6042" w:rsidRPr="006757FD">
              <w:rPr>
                <w:rFonts w:cs="Arial"/>
                <w:shd w:val="clear" w:color="auto" w:fill="FFFFFF"/>
              </w:rPr>
              <w:t>pation and Partnerships Program</w:t>
            </w:r>
          </w:p>
        </w:tc>
        <w:tc>
          <w:tcPr>
            <w:tcW w:w="6657" w:type="dxa"/>
          </w:tcPr>
          <w:p w:rsidR="00B0167D" w:rsidRPr="006757FD" w:rsidRDefault="00E87ACE" w:rsidP="00287F49">
            <w:r w:rsidRPr="006757FD">
              <w:t>From 1 January 2018, the Government will reform HEPPP into two components—the Access and Participation Fund and the National Priorities Pool. The Participation and Partnership components of HEPPP will be combined to form the Access and Participation Fund, with universities required to allocate a minimum amount of funding to partnership activities.</w:t>
            </w:r>
          </w:p>
        </w:tc>
        <w:tc>
          <w:tcPr>
            <w:tcW w:w="3691" w:type="dxa"/>
          </w:tcPr>
          <w:p w:rsidR="00B0167D" w:rsidRPr="006757FD" w:rsidRDefault="00A638DD" w:rsidP="00287F49">
            <w:hyperlink r:id="rId44" w:history="1">
              <w:r w:rsidR="00E87ACE" w:rsidRPr="006757FD">
                <w:rPr>
                  <w:rStyle w:val="Hyperlink"/>
                  <w:color w:val="auto"/>
                </w:rPr>
                <w:t>https://www.education.gov.au/higher-education-participation-and-partnerships-programme-heppp</w:t>
              </w:r>
            </w:hyperlink>
          </w:p>
          <w:p w:rsidR="00E87ACE" w:rsidRPr="006757FD" w:rsidRDefault="00E87ACE" w:rsidP="00287F49"/>
        </w:tc>
      </w:tr>
    </w:tbl>
    <w:p w:rsidR="00820A54" w:rsidRPr="006757FD" w:rsidRDefault="00820A54">
      <w:r w:rsidRPr="006757FD">
        <w:br w:type="page"/>
      </w:r>
    </w:p>
    <w:p w:rsidR="00820A54" w:rsidRPr="006757FD" w:rsidRDefault="00820A54"/>
    <w:tbl>
      <w:tblPr>
        <w:tblStyle w:val="TableGrid"/>
        <w:tblW w:w="14601" w:type="dxa"/>
        <w:tblInd w:w="-289" w:type="dxa"/>
        <w:tblLayout w:type="fixed"/>
        <w:tblLook w:val="04A0" w:firstRow="1" w:lastRow="0" w:firstColumn="1" w:lastColumn="0" w:noHBand="0" w:noVBand="1"/>
      </w:tblPr>
      <w:tblGrid>
        <w:gridCol w:w="1113"/>
        <w:gridCol w:w="3140"/>
        <w:gridCol w:w="6657"/>
        <w:gridCol w:w="3691"/>
      </w:tblGrid>
      <w:tr w:rsidR="006757FD" w:rsidRPr="006757FD" w:rsidTr="00234C83">
        <w:tc>
          <w:tcPr>
            <w:tcW w:w="1113" w:type="dxa"/>
            <w:shd w:val="clear" w:color="auto" w:fill="D0CECE" w:themeFill="background2" w:themeFillShade="E6"/>
          </w:tcPr>
          <w:p w:rsidR="00820A54" w:rsidRPr="006757FD" w:rsidRDefault="00820A54" w:rsidP="00234C83">
            <w:r w:rsidRPr="006757FD">
              <w:t>Acronym</w:t>
            </w:r>
          </w:p>
        </w:tc>
        <w:tc>
          <w:tcPr>
            <w:tcW w:w="3140" w:type="dxa"/>
            <w:shd w:val="clear" w:color="auto" w:fill="D0CECE" w:themeFill="background2" w:themeFillShade="E6"/>
          </w:tcPr>
          <w:p w:rsidR="00820A54" w:rsidRPr="006757FD" w:rsidRDefault="00820A54" w:rsidP="00234C83">
            <w:r w:rsidRPr="006757FD">
              <w:t>Title</w:t>
            </w:r>
          </w:p>
        </w:tc>
        <w:tc>
          <w:tcPr>
            <w:tcW w:w="6657" w:type="dxa"/>
            <w:shd w:val="clear" w:color="auto" w:fill="D0CECE" w:themeFill="background2" w:themeFillShade="E6"/>
          </w:tcPr>
          <w:p w:rsidR="00820A54" w:rsidRPr="006757FD" w:rsidRDefault="00820A54" w:rsidP="00234C83">
            <w:r w:rsidRPr="006757FD">
              <w:t>Description</w:t>
            </w:r>
          </w:p>
        </w:tc>
        <w:tc>
          <w:tcPr>
            <w:tcW w:w="3691" w:type="dxa"/>
            <w:shd w:val="clear" w:color="auto" w:fill="D0CECE" w:themeFill="background2" w:themeFillShade="E6"/>
          </w:tcPr>
          <w:p w:rsidR="00820A54" w:rsidRPr="006757FD" w:rsidRDefault="00820A54" w:rsidP="00234C83">
            <w:r w:rsidRPr="006757FD">
              <w:t>Website</w:t>
            </w:r>
          </w:p>
        </w:tc>
      </w:tr>
      <w:tr w:rsidR="006757FD" w:rsidRPr="006757FD" w:rsidTr="00565E7C">
        <w:tc>
          <w:tcPr>
            <w:tcW w:w="1113" w:type="dxa"/>
          </w:tcPr>
          <w:p w:rsidR="00B0167D" w:rsidRPr="006757FD" w:rsidRDefault="00B0167D" w:rsidP="00287F49">
            <w:r w:rsidRPr="006757FD">
              <w:t>ICAN</w:t>
            </w:r>
          </w:p>
        </w:tc>
        <w:tc>
          <w:tcPr>
            <w:tcW w:w="3140" w:type="dxa"/>
          </w:tcPr>
          <w:p w:rsidR="00B0167D" w:rsidRPr="006757FD" w:rsidRDefault="00B0167D" w:rsidP="00287F49">
            <w:r w:rsidRPr="006757FD">
              <w:t>I Can Network</w:t>
            </w:r>
          </w:p>
        </w:tc>
        <w:tc>
          <w:tcPr>
            <w:tcW w:w="6657" w:type="dxa"/>
          </w:tcPr>
          <w:p w:rsidR="00B0167D" w:rsidRPr="006757FD" w:rsidRDefault="00622A54" w:rsidP="00287F49">
            <w:r w:rsidRPr="006757FD">
              <w:t xml:space="preserve">I CAN Network is driving a rethink of Autism, from ‘I Can’t’ to ‘I CAN’. They mentor young people on the Autism Spectrum to live life with an ‘I CAN’ attitude. We bring out the ‘awe’ in </w:t>
            </w:r>
            <w:proofErr w:type="spellStart"/>
            <w:r w:rsidRPr="006757FD">
              <w:t>AWEtism</w:t>
            </w:r>
            <w:proofErr w:type="spellEnd"/>
            <w:r w:rsidRPr="006757FD">
              <w:t xml:space="preserve"> through education, advocacy and providing opportunities. They build networks across schools, universities, TAFEs, communities, businesses and governments.</w:t>
            </w:r>
          </w:p>
        </w:tc>
        <w:tc>
          <w:tcPr>
            <w:tcW w:w="3691" w:type="dxa"/>
          </w:tcPr>
          <w:p w:rsidR="00B0167D" w:rsidRPr="006757FD" w:rsidRDefault="00A638DD" w:rsidP="00287F49">
            <w:hyperlink r:id="rId45" w:history="1">
              <w:r w:rsidR="00622A54" w:rsidRPr="006757FD">
                <w:rPr>
                  <w:rStyle w:val="Hyperlink"/>
                  <w:color w:val="auto"/>
                </w:rPr>
                <w:t>http://icannetwork.com.au/</w:t>
              </w:r>
            </w:hyperlink>
          </w:p>
          <w:p w:rsidR="00622A54" w:rsidRPr="006757FD" w:rsidRDefault="00622A54" w:rsidP="00287F49"/>
        </w:tc>
      </w:tr>
      <w:tr w:rsidR="006757FD" w:rsidRPr="006757FD" w:rsidTr="00565E7C">
        <w:tc>
          <w:tcPr>
            <w:tcW w:w="1113" w:type="dxa"/>
          </w:tcPr>
          <w:p w:rsidR="00B0167D" w:rsidRPr="006757FD" w:rsidRDefault="00B0167D" w:rsidP="00287F49">
            <w:r w:rsidRPr="006757FD">
              <w:t>ILC</w:t>
            </w:r>
          </w:p>
        </w:tc>
        <w:tc>
          <w:tcPr>
            <w:tcW w:w="3140" w:type="dxa"/>
          </w:tcPr>
          <w:p w:rsidR="00B0167D" w:rsidRPr="006757FD" w:rsidRDefault="00B0167D" w:rsidP="00287F49">
            <w:r w:rsidRPr="006757FD">
              <w:t>Information, Linkages and Capacity Building</w:t>
            </w:r>
          </w:p>
        </w:tc>
        <w:tc>
          <w:tcPr>
            <w:tcW w:w="6657" w:type="dxa"/>
          </w:tcPr>
          <w:p w:rsidR="00B0167D" w:rsidRPr="006757FD" w:rsidRDefault="00225EFE" w:rsidP="00287F49">
            <w:r w:rsidRPr="006757FD">
              <w:t xml:space="preserve">As part of the NDIS, the Australian Government established ILC. ILC focusses on building an individual’s capacity to live an ordinary life and creating opportunities in the community to do so. </w:t>
            </w:r>
            <w:r w:rsidR="0068086B" w:rsidRPr="006757FD">
              <w:t xml:space="preserve">Funding is distributed </w:t>
            </w:r>
            <w:r w:rsidRPr="006757FD">
              <w:t>through Grants.</w:t>
            </w:r>
          </w:p>
        </w:tc>
        <w:tc>
          <w:tcPr>
            <w:tcW w:w="3691" w:type="dxa"/>
          </w:tcPr>
          <w:p w:rsidR="00B0167D" w:rsidRPr="006757FD" w:rsidRDefault="00A638DD" w:rsidP="00287F49">
            <w:hyperlink r:id="rId46" w:history="1">
              <w:r w:rsidR="004C1751" w:rsidRPr="006757FD">
                <w:rPr>
                  <w:rStyle w:val="Hyperlink"/>
                  <w:color w:val="auto"/>
                </w:rPr>
                <w:t>https://ndis.gov.au/communities/ilc-home.html</w:t>
              </w:r>
            </w:hyperlink>
          </w:p>
          <w:p w:rsidR="004C1751" w:rsidRPr="006757FD" w:rsidRDefault="004C1751" w:rsidP="00287F49"/>
        </w:tc>
      </w:tr>
      <w:tr w:rsidR="006757FD" w:rsidRPr="006757FD" w:rsidTr="00565E7C">
        <w:tc>
          <w:tcPr>
            <w:tcW w:w="1113" w:type="dxa"/>
          </w:tcPr>
          <w:p w:rsidR="00B0167D" w:rsidRPr="006757FD" w:rsidRDefault="00B0167D" w:rsidP="00287F49">
            <w:r w:rsidRPr="006757FD">
              <w:t>JCA</w:t>
            </w:r>
          </w:p>
        </w:tc>
        <w:tc>
          <w:tcPr>
            <w:tcW w:w="3140" w:type="dxa"/>
          </w:tcPr>
          <w:p w:rsidR="00B0167D" w:rsidRPr="006757FD" w:rsidRDefault="00B0167D" w:rsidP="00287F49">
            <w:r w:rsidRPr="006757FD">
              <w:t>Job Capacity Assessment</w:t>
            </w:r>
          </w:p>
        </w:tc>
        <w:tc>
          <w:tcPr>
            <w:tcW w:w="6657" w:type="dxa"/>
          </w:tcPr>
          <w:p w:rsidR="00B0167D" w:rsidRPr="006757FD" w:rsidRDefault="00625BD5" w:rsidP="00287F49">
            <w:r w:rsidRPr="006757FD">
              <w:t>Refer ESAT</w:t>
            </w:r>
          </w:p>
        </w:tc>
        <w:tc>
          <w:tcPr>
            <w:tcW w:w="3691" w:type="dxa"/>
          </w:tcPr>
          <w:p w:rsidR="004C1751" w:rsidRPr="006757FD" w:rsidRDefault="00A638DD" w:rsidP="00287F49">
            <w:hyperlink r:id="rId47" w:anchor="a1" w:history="1">
              <w:r w:rsidR="004C1751" w:rsidRPr="006757FD">
                <w:rPr>
                  <w:rStyle w:val="Hyperlink"/>
                  <w:color w:val="auto"/>
                </w:rPr>
                <w:t>https://www.humanservices.gov.au/individuals/enablers/employment-services-assessments#a1</w:t>
              </w:r>
            </w:hyperlink>
          </w:p>
        </w:tc>
      </w:tr>
      <w:tr w:rsidR="006757FD" w:rsidRPr="006757FD" w:rsidTr="00401B8B">
        <w:tc>
          <w:tcPr>
            <w:tcW w:w="1113" w:type="dxa"/>
          </w:tcPr>
          <w:p w:rsidR="00A30074" w:rsidRPr="006757FD" w:rsidRDefault="00A30074" w:rsidP="00401B8B">
            <w:proofErr w:type="spellStart"/>
            <w:r w:rsidRPr="006757FD">
              <w:t>JobAccess</w:t>
            </w:r>
            <w:proofErr w:type="spellEnd"/>
          </w:p>
        </w:tc>
        <w:tc>
          <w:tcPr>
            <w:tcW w:w="3140" w:type="dxa"/>
          </w:tcPr>
          <w:p w:rsidR="00A30074" w:rsidRPr="006757FD" w:rsidRDefault="00A30074" w:rsidP="00401B8B">
            <w:proofErr w:type="spellStart"/>
            <w:r w:rsidRPr="006757FD">
              <w:t>JobAccess</w:t>
            </w:r>
            <w:proofErr w:type="spellEnd"/>
          </w:p>
        </w:tc>
        <w:tc>
          <w:tcPr>
            <w:tcW w:w="6657" w:type="dxa"/>
          </w:tcPr>
          <w:p w:rsidR="00A30074" w:rsidRPr="006757FD" w:rsidRDefault="00A30074" w:rsidP="00401B8B">
            <w:proofErr w:type="spellStart"/>
            <w:r w:rsidRPr="006757FD">
              <w:t>JobAccess</w:t>
            </w:r>
            <w:proofErr w:type="spellEnd"/>
            <w:r w:rsidRPr="006757FD">
              <w:t xml:space="preserve"> is the national hub for all things disability employment. </w:t>
            </w:r>
            <w:proofErr w:type="spellStart"/>
            <w:r w:rsidRPr="006757FD">
              <w:t>JobAccess</w:t>
            </w:r>
            <w:proofErr w:type="spellEnd"/>
            <w:r w:rsidRPr="006757FD">
              <w:t xml:space="preserve"> is funded by the Australian Government Department of Social Services. </w:t>
            </w:r>
            <w:proofErr w:type="spellStart"/>
            <w:r w:rsidRPr="006757FD">
              <w:t>JobAccess</w:t>
            </w:r>
            <w:proofErr w:type="spellEnd"/>
            <w:r w:rsidRPr="006757FD">
              <w:t xml:space="preserve"> provides information on, for example: financial support, workplace modifications, help with finding and changing jobs, creating flexible work environments, links to career advice and training courses, connecting with employers, providers and peak bodies and a range of other tools and resources for people with disability, employers and service providers.</w:t>
            </w:r>
          </w:p>
        </w:tc>
        <w:tc>
          <w:tcPr>
            <w:tcW w:w="3691" w:type="dxa"/>
          </w:tcPr>
          <w:p w:rsidR="00A30074" w:rsidRPr="006757FD" w:rsidRDefault="00A638DD" w:rsidP="00401B8B">
            <w:hyperlink r:id="rId48" w:history="1">
              <w:r w:rsidR="00A30074" w:rsidRPr="006757FD">
                <w:rPr>
                  <w:rStyle w:val="Hyperlink"/>
                  <w:color w:val="auto"/>
                </w:rPr>
                <w:t>https://www.jobaccess.gov.au/</w:t>
              </w:r>
            </w:hyperlink>
          </w:p>
          <w:p w:rsidR="00A30074" w:rsidRPr="006757FD" w:rsidRDefault="00A30074" w:rsidP="00401B8B"/>
        </w:tc>
      </w:tr>
      <w:tr w:rsidR="006757FD" w:rsidRPr="006757FD" w:rsidTr="00A30074">
        <w:tc>
          <w:tcPr>
            <w:tcW w:w="1113" w:type="dxa"/>
          </w:tcPr>
          <w:p w:rsidR="00A30074" w:rsidRPr="006757FD" w:rsidRDefault="00A30074" w:rsidP="00401B8B">
            <w:proofErr w:type="spellStart"/>
            <w:r w:rsidRPr="006757FD">
              <w:t>JobActive</w:t>
            </w:r>
            <w:proofErr w:type="spellEnd"/>
          </w:p>
        </w:tc>
        <w:tc>
          <w:tcPr>
            <w:tcW w:w="3140" w:type="dxa"/>
          </w:tcPr>
          <w:p w:rsidR="00A30074" w:rsidRPr="006757FD" w:rsidRDefault="00A30074" w:rsidP="00401B8B">
            <w:proofErr w:type="spellStart"/>
            <w:r w:rsidRPr="006757FD">
              <w:t>JobActive</w:t>
            </w:r>
            <w:proofErr w:type="spellEnd"/>
          </w:p>
        </w:tc>
        <w:tc>
          <w:tcPr>
            <w:tcW w:w="6657" w:type="dxa"/>
          </w:tcPr>
          <w:p w:rsidR="00A30074" w:rsidRPr="006757FD" w:rsidRDefault="00A30074" w:rsidP="00401B8B">
            <w:proofErr w:type="spellStart"/>
            <w:r w:rsidRPr="006757FD">
              <w:t>Jobactive</w:t>
            </w:r>
            <w:proofErr w:type="spellEnd"/>
            <w:r w:rsidRPr="006757FD">
              <w:t xml:space="preserve"> is the Australian Government’s way to get more Australians into work. It connects job seekers with employers and is delivered by a network of </w:t>
            </w:r>
            <w:proofErr w:type="spellStart"/>
            <w:r w:rsidRPr="006757FD">
              <w:t>Jobactive</w:t>
            </w:r>
            <w:proofErr w:type="spellEnd"/>
            <w:r w:rsidRPr="006757FD">
              <w:t xml:space="preserve"> providers in over 1700 locations across Australia.</w:t>
            </w:r>
          </w:p>
        </w:tc>
        <w:tc>
          <w:tcPr>
            <w:tcW w:w="3691" w:type="dxa"/>
          </w:tcPr>
          <w:p w:rsidR="00A30074" w:rsidRPr="006757FD" w:rsidRDefault="00A638DD" w:rsidP="00401B8B">
            <w:hyperlink r:id="rId49" w:history="1">
              <w:r w:rsidR="00A30074" w:rsidRPr="006757FD">
                <w:rPr>
                  <w:rStyle w:val="Hyperlink"/>
                  <w:color w:val="auto"/>
                </w:rPr>
                <w:t>https://jobactive.gov.au/</w:t>
              </w:r>
            </w:hyperlink>
          </w:p>
          <w:p w:rsidR="00A30074" w:rsidRPr="006757FD" w:rsidRDefault="00A30074" w:rsidP="00401B8B"/>
          <w:p w:rsidR="00A30074" w:rsidRPr="006757FD" w:rsidRDefault="00A30074" w:rsidP="00401B8B"/>
        </w:tc>
      </w:tr>
      <w:tr w:rsidR="006757FD" w:rsidRPr="006757FD" w:rsidTr="00A30074">
        <w:tc>
          <w:tcPr>
            <w:tcW w:w="1113" w:type="dxa"/>
          </w:tcPr>
          <w:p w:rsidR="00B0167D" w:rsidRPr="006757FD" w:rsidRDefault="00B0167D" w:rsidP="00287F49">
            <w:r w:rsidRPr="006757FD">
              <w:t>JVEN</w:t>
            </w:r>
          </w:p>
        </w:tc>
        <w:tc>
          <w:tcPr>
            <w:tcW w:w="3140" w:type="dxa"/>
          </w:tcPr>
          <w:p w:rsidR="00B0167D" w:rsidRPr="006757FD" w:rsidRDefault="00B0167D" w:rsidP="00287F49">
            <w:r w:rsidRPr="006757FD">
              <w:t>Jobs Victoria Employment Network</w:t>
            </w:r>
          </w:p>
        </w:tc>
        <w:tc>
          <w:tcPr>
            <w:tcW w:w="6657" w:type="dxa"/>
          </w:tcPr>
          <w:p w:rsidR="00B0167D" w:rsidRPr="006757FD" w:rsidRDefault="006024FE" w:rsidP="00F17317">
            <w:r w:rsidRPr="006757FD">
              <w:rPr>
                <w:rFonts w:cs="Helvetica"/>
                <w:shd w:val="clear" w:color="auto" w:fill="FFFFFF"/>
              </w:rPr>
              <w:t>The JVEN is a</w:t>
            </w:r>
            <w:r w:rsidR="00F17317" w:rsidRPr="006757FD">
              <w:rPr>
                <w:rFonts w:cs="Helvetica"/>
                <w:shd w:val="clear" w:color="auto" w:fill="FFFFFF"/>
              </w:rPr>
              <w:t>n</w:t>
            </w:r>
            <w:r w:rsidRPr="006757FD">
              <w:rPr>
                <w:rFonts w:cs="Helvetica"/>
                <w:shd w:val="clear" w:color="auto" w:fill="FFFFFF"/>
              </w:rPr>
              <w:t xml:space="preserve"> initiative of Jobs Victoria. </w:t>
            </w:r>
            <w:r w:rsidR="00F17317" w:rsidRPr="006757FD">
              <w:rPr>
                <w:rFonts w:cs="Helvetica"/>
                <w:shd w:val="clear" w:color="auto" w:fill="FFFFFF"/>
              </w:rPr>
              <w:t xml:space="preserve">Through a </w:t>
            </w:r>
            <w:r w:rsidRPr="006757FD">
              <w:rPr>
                <w:rFonts w:cs="Helvetica"/>
                <w:shd w:val="clear" w:color="auto" w:fill="FFFFFF"/>
              </w:rPr>
              <w:t xml:space="preserve">network of Jobs Victoria Partners throughout the state, </w:t>
            </w:r>
            <w:r w:rsidR="00F17317" w:rsidRPr="006757FD">
              <w:rPr>
                <w:rFonts w:cs="Helvetica"/>
                <w:shd w:val="clear" w:color="auto" w:fill="FFFFFF"/>
              </w:rPr>
              <w:t xml:space="preserve">they </w:t>
            </w:r>
            <w:r w:rsidRPr="006757FD">
              <w:rPr>
                <w:rFonts w:cs="Helvetica"/>
                <w:shd w:val="clear" w:color="auto" w:fill="FFFFFF"/>
              </w:rPr>
              <w:t>help jobseekers get job-ready and work with employers to identify the skills and experience they are looking for.</w:t>
            </w:r>
          </w:p>
        </w:tc>
        <w:tc>
          <w:tcPr>
            <w:tcW w:w="3691" w:type="dxa"/>
          </w:tcPr>
          <w:p w:rsidR="00B0167D" w:rsidRPr="006757FD" w:rsidRDefault="00A638DD" w:rsidP="00287F49">
            <w:hyperlink r:id="rId50" w:history="1">
              <w:r w:rsidR="007A7812" w:rsidRPr="006757FD">
                <w:rPr>
                  <w:rStyle w:val="Hyperlink"/>
                  <w:color w:val="auto"/>
                </w:rPr>
                <w:t>http://jobs.vic.gov.au/about-jobs-victoria/jobs-victoria-employment-network</w:t>
              </w:r>
            </w:hyperlink>
          </w:p>
          <w:p w:rsidR="007A7812" w:rsidRPr="006757FD" w:rsidRDefault="007A7812" w:rsidP="00287F49"/>
        </w:tc>
      </w:tr>
    </w:tbl>
    <w:p w:rsidR="00820A54" w:rsidRPr="006757FD" w:rsidRDefault="00820A54">
      <w:r w:rsidRPr="006757FD">
        <w:br w:type="page"/>
      </w:r>
    </w:p>
    <w:p w:rsidR="00820A54" w:rsidRPr="006757FD" w:rsidRDefault="00820A54"/>
    <w:tbl>
      <w:tblPr>
        <w:tblStyle w:val="TableGrid"/>
        <w:tblW w:w="14601" w:type="dxa"/>
        <w:tblInd w:w="-289" w:type="dxa"/>
        <w:tblLayout w:type="fixed"/>
        <w:tblLook w:val="04A0" w:firstRow="1" w:lastRow="0" w:firstColumn="1" w:lastColumn="0" w:noHBand="0" w:noVBand="1"/>
      </w:tblPr>
      <w:tblGrid>
        <w:gridCol w:w="1113"/>
        <w:gridCol w:w="3140"/>
        <w:gridCol w:w="6657"/>
        <w:gridCol w:w="3691"/>
      </w:tblGrid>
      <w:tr w:rsidR="006757FD" w:rsidRPr="006757FD" w:rsidTr="00234C83">
        <w:tc>
          <w:tcPr>
            <w:tcW w:w="1113" w:type="dxa"/>
            <w:shd w:val="clear" w:color="auto" w:fill="D0CECE" w:themeFill="background2" w:themeFillShade="E6"/>
          </w:tcPr>
          <w:p w:rsidR="00820A54" w:rsidRPr="006757FD" w:rsidRDefault="00820A54" w:rsidP="00234C83">
            <w:r w:rsidRPr="006757FD">
              <w:t>Acronym</w:t>
            </w:r>
          </w:p>
        </w:tc>
        <w:tc>
          <w:tcPr>
            <w:tcW w:w="3140" w:type="dxa"/>
            <w:shd w:val="clear" w:color="auto" w:fill="D0CECE" w:themeFill="background2" w:themeFillShade="E6"/>
          </w:tcPr>
          <w:p w:rsidR="00820A54" w:rsidRPr="006757FD" w:rsidRDefault="00820A54" w:rsidP="00234C83">
            <w:r w:rsidRPr="006757FD">
              <w:t>Title</w:t>
            </w:r>
          </w:p>
        </w:tc>
        <w:tc>
          <w:tcPr>
            <w:tcW w:w="6657" w:type="dxa"/>
            <w:shd w:val="clear" w:color="auto" w:fill="D0CECE" w:themeFill="background2" w:themeFillShade="E6"/>
          </w:tcPr>
          <w:p w:rsidR="00820A54" w:rsidRPr="006757FD" w:rsidRDefault="00820A54" w:rsidP="00234C83">
            <w:r w:rsidRPr="006757FD">
              <w:t>Description</w:t>
            </w:r>
          </w:p>
        </w:tc>
        <w:tc>
          <w:tcPr>
            <w:tcW w:w="3691" w:type="dxa"/>
            <w:shd w:val="clear" w:color="auto" w:fill="D0CECE" w:themeFill="background2" w:themeFillShade="E6"/>
          </w:tcPr>
          <w:p w:rsidR="00820A54" w:rsidRPr="006757FD" w:rsidRDefault="00820A54" w:rsidP="00234C83">
            <w:r w:rsidRPr="006757FD">
              <w:t>Website</w:t>
            </w:r>
          </w:p>
        </w:tc>
      </w:tr>
      <w:tr w:rsidR="006757FD" w:rsidRPr="006757FD" w:rsidTr="00A30074">
        <w:tc>
          <w:tcPr>
            <w:tcW w:w="1113" w:type="dxa"/>
          </w:tcPr>
          <w:p w:rsidR="00B0167D" w:rsidRPr="006757FD" w:rsidRDefault="00B0167D" w:rsidP="00287F49">
            <w:r w:rsidRPr="006757FD">
              <w:t>LAC</w:t>
            </w:r>
          </w:p>
        </w:tc>
        <w:tc>
          <w:tcPr>
            <w:tcW w:w="3140" w:type="dxa"/>
          </w:tcPr>
          <w:p w:rsidR="00B0167D" w:rsidRPr="006757FD" w:rsidRDefault="00103118" w:rsidP="00287F49">
            <w:r w:rsidRPr="006757FD">
              <w:t>Local Area Coordination (NDIS)</w:t>
            </w:r>
          </w:p>
        </w:tc>
        <w:tc>
          <w:tcPr>
            <w:tcW w:w="6657" w:type="dxa"/>
          </w:tcPr>
          <w:p w:rsidR="00B0167D" w:rsidRPr="006757FD" w:rsidRDefault="00103118" w:rsidP="00287F49">
            <w:r w:rsidRPr="006757FD">
              <w:rPr>
                <w:rFonts w:cs="Helvetica"/>
                <w:shd w:val="clear" w:color="auto" w:fill="FFFFFF"/>
              </w:rPr>
              <w:t>Local Area Coordination (LAC) is an important part of Australia’s transition to the NDIS. Coordinators work with participants on the ground to help them enter and make the most of the Scheme. They also support participants to build strong, inclusive relationships and connect with their community, a move away from the traditional centralised model of program delivery. </w:t>
            </w:r>
          </w:p>
        </w:tc>
        <w:tc>
          <w:tcPr>
            <w:tcW w:w="3691" w:type="dxa"/>
          </w:tcPr>
          <w:p w:rsidR="00B0167D" w:rsidRPr="006757FD" w:rsidRDefault="00A638DD" w:rsidP="00287F49">
            <w:hyperlink r:id="rId51" w:history="1">
              <w:r w:rsidR="00AA37E3" w:rsidRPr="006757FD">
                <w:rPr>
                  <w:rStyle w:val="Hyperlink"/>
                  <w:color w:val="auto"/>
                </w:rPr>
                <w:t>https://www.ndis.gov.au/communities/local-area-coordination</w:t>
              </w:r>
            </w:hyperlink>
          </w:p>
          <w:p w:rsidR="00AA37E3" w:rsidRPr="006757FD" w:rsidRDefault="00AA37E3" w:rsidP="00287F49"/>
        </w:tc>
      </w:tr>
      <w:tr w:rsidR="006757FD" w:rsidRPr="006757FD" w:rsidTr="00A30074">
        <w:tc>
          <w:tcPr>
            <w:tcW w:w="1113" w:type="dxa"/>
          </w:tcPr>
          <w:p w:rsidR="00B0167D" w:rsidRPr="006757FD" w:rsidRDefault="00B0167D" w:rsidP="00287F49">
            <w:r w:rsidRPr="006757FD">
              <w:t>LGA</w:t>
            </w:r>
          </w:p>
        </w:tc>
        <w:tc>
          <w:tcPr>
            <w:tcW w:w="3140" w:type="dxa"/>
          </w:tcPr>
          <w:p w:rsidR="00B0167D" w:rsidRPr="006757FD" w:rsidRDefault="00B0167D" w:rsidP="00287F49">
            <w:r w:rsidRPr="006757FD">
              <w:t>Local Government Area</w:t>
            </w:r>
          </w:p>
        </w:tc>
        <w:tc>
          <w:tcPr>
            <w:tcW w:w="6657" w:type="dxa"/>
          </w:tcPr>
          <w:p w:rsidR="00B0167D" w:rsidRPr="006757FD" w:rsidRDefault="00840F2E" w:rsidP="00F44D97">
            <w:r w:rsidRPr="006757FD">
              <w:t>Local government in Victoria describes the 79 municipal districts often referred to as LGAs.</w:t>
            </w:r>
          </w:p>
        </w:tc>
        <w:tc>
          <w:tcPr>
            <w:tcW w:w="3691" w:type="dxa"/>
          </w:tcPr>
          <w:p w:rsidR="00AA37E3" w:rsidRPr="006757FD" w:rsidRDefault="00A638DD" w:rsidP="00287F49">
            <w:hyperlink r:id="rId52" w:history="1">
              <w:r w:rsidR="00AA37E3" w:rsidRPr="006757FD">
                <w:rPr>
                  <w:rStyle w:val="Hyperlink"/>
                  <w:color w:val="auto"/>
                </w:rPr>
                <w:t>http://www.abs.gov.au/websitedbs/D3310114.nsf/Home/Finding+data+for+Local+Government+areas</w:t>
              </w:r>
            </w:hyperlink>
          </w:p>
        </w:tc>
      </w:tr>
      <w:tr w:rsidR="006757FD" w:rsidRPr="006757FD" w:rsidTr="00A30074">
        <w:tc>
          <w:tcPr>
            <w:tcW w:w="1113" w:type="dxa"/>
          </w:tcPr>
          <w:p w:rsidR="00B0167D" w:rsidRPr="006757FD" w:rsidRDefault="00B0167D" w:rsidP="00287F49">
            <w:r w:rsidRPr="006757FD">
              <w:t>LLEN</w:t>
            </w:r>
          </w:p>
        </w:tc>
        <w:tc>
          <w:tcPr>
            <w:tcW w:w="3140" w:type="dxa"/>
          </w:tcPr>
          <w:p w:rsidR="00B0167D" w:rsidRPr="006757FD" w:rsidRDefault="00820935" w:rsidP="00287F49">
            <w:r w:rsidRPr="006757FD">
              <w:t xml:space="preserve">Local Learning </w:t>
            </w:r>
            <w:r w:rsidR="00B0167D" w:rsidRPr="006757FD">
              <w:t>Employment Network</w:t>
            </w:r>
          </w:p>
        </w:tc>
        <w:tc>
          <w:tcPr>
            <w:tcW w:w="6657" w:type="dxa"/>
          </w:tcPr>
          <w:p w:rsidR="00820935" w:rsidRPr="006757FD" w:rsidRDefault="00820935" w:rsidP="00287F49">
            <w:r w:rsidRPr="006757FD">
              <w:t>LLENs are made up a range of groups and organisations including education and training providers, business and industry, community agencies, and parent and family organisations.</w:t>
            </w:r>
          </w:p>
          <w:p w:rsidR="00820935" w:rsidRPr="006757FD" w:rsidRDefault="00820935" w:rsidP="00287F49">
            <w:r w:rsidRPr="006757FD">
              <w:t>LLENs have a particular focus on young people at risk of disengaging, or who have already disengaged, from education and training and are not in meaningful employment.</w:t>
            </w:r>
          </w:p>
          <w:p w:rsidR="00B0167D" w:rsidRPr="006757FD" w:rsidRDefault="00820935" w:rsidP="00287F49">
            <w:r w:rsidRPr="006757FD">
              <w:t>Each LLEN creates strategic, sustainable partnerships that improve education and transition outcomes for young people, including increasing Year 12 or equivalent attainment rates. LLENs use their knowledge of the region to influence strategic planning and broker partnerships among key stakeholders to support young people to remain engaged, or re-engage, in education or training.</w:t>
            </w:r>
          </w:p>
        </w:tc>
        <w:tc>
          <w:tcPr>
            <w:tcW w:w="3691" w:type="dxa"/>
          </w:tcPr>
          <w:p w:rsidR="00B0167D" w:rsidRPr="006757FD" w:rsidRDefault="00A638DD" w:rsidP="00287F49">
            <w:hyperlink r:id="rId53" w:history="1">
              <w:r w:rsidR="00AA37E3" w:rsidRPr="006757FD">
                <w:rPr>
                  <w:rStyle w:val="Hyperlink"/>
                  <w:color w:val="auto"/>
                </w:rPr>
                <w:t>http://www.education.vic.gov.au/about/programs/pathways/Pages/llens.aspx</w:t>
              </w:r>
            </w:hyperlink>
          </w:p>
          <w:p w:rsidR="00AA37E3" w:rsidRPr="006757FD" w:rsidRDefault="00AA37E3" w:rsidP="00287F49"/>
        </w:tc>
      </w:tr>
      <w:tr w:rsidR="006757FD" w:rsidRPr="006757FD" w:rsidTr="00A30074">
        <w:tc>
          <w:tcPr>
            <w:tcW w:w="1113" w:type="dxa"/>
          </w:tcPr>
          <w:p w:rsidR="00A30074" w:rsidRPr="006757FD" w:rsidRDefault="00A30074" w:rsidP="00401B8B">
            <w:r w:rsidRPr="006757FD">
              <w:t>LLN</w:t>
            </w:r>
          </w:p>
        </w:tc>
        <w:tc>
          <w:tcPr>
            <w:tcW w:w="3140" w:type="dxa"/>
          </w:tcPr>
          <w:p w:rsidR="00A30074" w:rsidRPr="006757FD" w:rsidRDefault="00A30074" w:rsidP="00401B8B">
            <w:r w:rsidRPr="006757FD">
              <w:rPr>
                <w:rFonts w:cs="Arial"/>
                <w:shd w:val="clear" w:color="auto" w:fill="FFFFFF"/>
              </w:rPr>
              <w:t xml:space="preserve">Language, Literacy and Numeracy </w:t>
            </w:r>
          </w:p>
        </w:tc>
        <w:tc>
          <w:tcPr>
            <w:tcW w:w="6657" w:type="dxa"/>
          </w:tcPr>
          <w:p w:rsidR="00A30074" w:rsidRPr="006757FD" w:rsidRDefault="00A30074" w:rsidP="00401B8B"/>
        </w:tc>
        <w:tc>
          <w:tcPr>
            <w:tcW w:w="3691" w:type="dxa"/>
          </w:tcPr>
          <w:p w:rsidR="00A30074" w:rsidRPr="006757FD" w:rsidRDefault="00A638DD" w:rsidP="00401B8B">
            <w:hyperlink r:id="rId54" w:history="1">
              <w:r w:rsidR="00A30074" w:rsidRPr="006757FD">
                <w:rPr>
                  <w:rStyle w:val="Hyperlink"/>
                  <w:color w:val="auto"/>
                </w:rPr>
                <w:t>https://www.education.gov.au/language-literacy-and-numeracy-lln-assessment-tool-information</w:t>
              </w:r>
            </w:hyperlink>
          </w:p>
        </w:tc>
      </w:tr>
      <w:tr w:rsidR="006757FD" w:rsidRPr="006757FD" w:rsidTr="00A30074">
        <w:tc>
          <w:tcPr>
            <w:tcW w:w="1113" w:type="dxa"/>
          </w:tcPr>
          <w:p w:rsidR="00E970DD" w:rsidRPr="006757FD" w:rsidRDefault="00E970DD" w:rsidP="00287F49">
            <w:r w:rsidRPr="006757FD">
              <w:t>MIPS</w:t>
            </w:r>
          </w:p>
        </w:tc>
        <w:tc>
          <w:tcPr>
            <w:tcW w:w="3140" w:type="dxa"/>
          </w:tcPr>
          <w:p w:rsidR="00E970DD" w:rsidRPr="006757FD" w:rsidRDefault="00E970DD" w:rsidP="00287F49">
            <w:pPr>
              <w:rPr>
                <w:rFonts w:cs="Arial"/>
                <w:shd w:val="clear" w:color="auto" w:fill="FFFFFF"/>
              </w:rPr>
            </w:pPr>
            <w:r w:rsidRPr="006757FD">
              <w:rPr>
                <w:rFonts w:cs="Arial"/>
                <w:shd w:val="clear" w:color="auto" w:fill="FFFFFF"/>
              </w:rPr>
              <w:t>Managed Individual Pathways</w:t>
            </w:r>
          </w:p>
        </w:tc>
        <w:tc>
          <w:tcPr>
            <w:tcW w:w="6657" w:type="dxa"/>
          </w:tcPr>
          <w:p w:rsidR="00E970DD" w:rsidRPr="006757FD" w:rsidRDefault="00820935" w:rsidP="00287F49">
            <w:r w:rsidRPr="006757FD">
              <w:rPr>
                <w:rFonts w:cs="Arial"/>
                <w:shd w:val="clear" w:color="auto" w:fill="FFFFFF"/>
              </w:rPr>
              <w:t>MIPs funding is provided to ensure all young people aged 15 years and over (Years 10 to 12) in Victorian government schools are provided with an individual Career Action Plan and associated career education support as a means to make a successful transition to further education, training or employment.</w:t>
            </w:r>
          </w:p>
        </w:tc>
        <w:tc>
          <w:tcPr>
            <w:tcW w:w="3691" w:type="dxa"/>
          </w:tcPr>
          <w:p w:rsidR="00E970DD" w:rsidRPr="006757FD" w:rsidRDefault="00A638DD" w:rsidP="00287F49">
            <w:hyperlink r:id="rId55" w:history="1">
              <w:r w:rsidR="00AA37E3" w:rsidRPr="006757FD">
                <w:rPr>
                  <w:rStyle w:val="Hyperlink"/>
                  <w:color w:val="auto"/>
                </w:rPr>
                <w:t>http://www.education.vic.gov.au/school/teachers/teachingresources/careers/Pages/mips.aspx</w:t>
              </w:r>
            </w:hyperlink>
          </w:p>
          <w:p w:rsidR="00AA37E3" w:rsidRPr="006757FD" w:rsidRDefault="00AA37E3" w:rsidP="00287F49"/>
        </w:tc>
      </w:tr>
    </w:tbl>
    <w:p w:rsidR="00820A54" w:rsidRPr="006757FD" w:rsidRDefault="00820A54">
      <w:r w:rsidRPr="006757FD">
        <w:br w:type="page"/>
      </w:r>
    </w:p>
    <w:p w:rsidR="00820A54" w:rsidRPr="006757FD" w:rsidRDefault="00820A54"/>
    <w:tbl>
      <w:tblPr>
        <w:tblStyle w:val="TableGrid"/>
        <w:tblW w:w="14601" w:type="dxa"/>
        <w:tblInd w:w="-289" w:type="dxa"/>
        <w:tblLayout w:type="fixed"/>
        <w:tblLook w:val="04A0" w:firstRow="1" w:lastRow="0" w:firstColumn="1" w:lastColumn="0" w:noHBand="0" w:noVBand="1"/>
      </w:tblPr>
      <w:tblGrid>
        <w:gridCol w:w="1113"/>
        <w:gridCol w:w="3140"/>
        <w:gridCol w:w="6657"/>
        <w:gridCol w:w="3691"/>
      </w:tblGrid>
      <w:tr w:rsidR="006757FD" w:rsidRPr="006757FD" w:rsidTr="00234C83">
        <w:tc>
          <w:tcPr>
            <w:tcW w:w="1113" w:type="dxa"/>
            <w:shd w:val="clear" w:color="auto" w:fill="D0CECE" w:themeFill="background2" w:themeFillShade="E6"/>
          </w:tcPr>
          <w:p w:rsidR="00820A54" w:rsidRPr="006757FD" w:rsidRDefault="00820A54" w:rsidP="00234C83">
            <w:r w:rsidRPr="006757FD">
              <w:t>Acronym</w:t>
            </w:r>
          </w:p>
        </w:tc>
        <w:tc>
          <w:tcPr>
            <w:tcW w:w="3140" w:type="dxa"/>
            <w:shd w:val="clear" w:color="auto" w:fill="D0CECE" w:themeFill="background2" w:themeFillShade="E6"/>
          </w:tcPr>
          <w:p w:rsidR="00820A54" w:rsidRPr="006757FD" w:rsidRDefault="00820A54" w:rsidP="00234C83">
            <w:r w:rsidRPr="006757FD">
              <w:t>Title</w:t>
            </w:r>
          </w:p>
        </w:tc>
        <w:tc>
          <w:tcPr>
            <w:tcW w:w="6657" w:type="dxa"/>
            <w:shd w:val="clear" w:color="auto" w:fill="D0CECE" w:themeFill="background2" w:themeFillShade="E6"/>
          </w:tcPr>
          <w:p w:rsidR="00820A54" w:rsidRPr="006757FD" w:rsidRDefault="00820A54" w:rsidP="00234C83">
            <w:r w:rsidRPr="006757FD">
              <w:t>Description</w:t>
            </w:r>
          </w:p>
        </w:tc>
        <w:tc>
          <w:tcPr>
            <w:tcW w:w="3691" w:type="dxa"/>
            <w:shd w:val="clear" w:color="auto" w:fill="D0CECE" w:themeFill="background2" w:themeFillShade="E6"/>
          </w:tcPr>
          <w:p w:rsidR="00820A54" w:rsidRPr="006757FD" w:rsidRDefault="00820A54" w:rsidP="00234C83">
            <w:r w:rsidRPr="006757FD">
              <w:t>Website</w:t>
            </w:r>
          </w:p>
        </w:tc>
      </w:tr>
      <w:tr w:rsidR="006757FD" w:rsidRPr="006757FD" w:rsidTr="00A30074">
        <w:tc>
          <w:tcPr>
            <w:tcW w:w="1113" w:type="dxa"/>
          </w:tcPr>
          <w:p w:rsidR="001B7F43" w:rsidRPr="006757FD" w:rsidRDefault="001B7F43" w:rsidP="00287F49">
            <w:pPr>
              <w:rPr>
                <w:rFonts w:cs="Arial"/>
                <w:shd w:val="clear" w:color="auto" w:fill="FFFFFF"/>
              </w:rPr>
            </w:pPr>
            <w:r w:rsidRPr="006757FD">
              <w:rPr>
                <w:rFonts w:cs="Arial"/>
                <w:shd w:val="clear" w:color="auto" w:fill="FFFFFF"/>
              </w:rPr>
              <w:t>MOU</w:t>
            </w:r>
          </w:p>
        </w:tc>
        <w:tc>
          <w:tcPr>
            <w:tcW w:w="3140" w:type="dxa"/>
          </w:tcPr>
          <w:p w:rsidR="001B7F43" w:rsidRPr="006757FD" w:rsidRDefault="001B7F43" w:rsidP="00287F49">
            <w:pPr>
              <w:rPr>
                <w:rFonts w:cs="Arial"/>
                <w:shd w:val="clear" w:color="auto" w:fill="FFFFFF"/>
              </w:rPr>
            </w:pPr>
            <w:r w:rsidRPr="006757FD">
              <w:rPr>
                <w:rFonts w:cs="Arial"/>
                <w:shd w:val="clear" w:color="auto" w:fill="FFFFFF"/>
              </w:rPr>
              <w:t>Memorandum of Understanding</w:t>
            </w:r>
          </w:p>
        </w:tc>
        <w:tc>
          <w:tcPr>
            <w:tcW w:w="6657" w:type="dxa"/>
          </w:tcPr>
          <w:p w:rsidR="001B7F43" w:rsidRPr="006757FD" w:rsidRDefault="001B7F43" w:rsidP="00287F49">
            <w:pPr>
              <w:rPr>
                <w:rFonts w:cs="Arial"/>
                <w:shd w:val="clear" w:color="auto" w:fill="FFFFFF"/>
              </w:rPr>
            </w:pPr>
            <w:r w:rsidRPr="006757FD">
              <w:rPr>
                <w:rFonts w:ascii="Arial" w:hAnsi="Arial" w:cs="Arial"/>
                <w:sz w:val="20"/>
                <w:szCs w:val="20"/>
                <w:shd w:val="clear" w:color="auto" w:fill="FFFFFF"/>
              </w:rPr>
              <w:t>An MOU is a document that records the common intent of two or more parties where the parties do </w:t>
            </w:r>
            <w:r w:rsidRPr="006757FD">
              <w:rPr>
                <w:rStyle w:val="Emphasis"/>
                <w:rFonts w:ascii="Arial" w:hAnsi="Arial" w:cs="Arial"/>
                <w:i w:val="0"/>
                <w:sz w:val="20"/>
                <w:szCs w:val="20"/>
                <w:shd w:val="clear" w:color="auto" w:fill="FFFFFF"/>
              </w:rPr>
              <w:t>not</w:t>
            </w:r>
            <w:r w:rsidRPr="006757FD">
              <w:rPr>
                <w:rFonts w:ascii="Arial" w:hAnsi="Arial" w:cs="Arial"/>
                <w:sz w:val="20"/>
                <w:szCs w:val="20"/>
                <w:shd w:val="clear" w:color="auto" w:fill="FFFFFF"/>
              </w:rPr>
              <w:t> wish to assume legally binding obligations. An MOU is usually less complex and less detailed than a contract, but provides a framework and set of principles to guide the parties in undertaking a project or working arrangement.</w:t>
            </w:r>
          </w:p>
        </w:tc>
        <w:tc>
          <w:tcPr>
            <w:tcW w:w="3691" w:type="dxa"/>
          </w:tcPr>
          <w:p w:rsidR="001B7F43" w:rsidRPr="006757FD" w:rsidRDefault="00A638DD" w:rsidP="00287F49">
            <w:hyperlink r:id="rId56" w:anchor="definition" w:history="1">
              <w:r w:rsidR="001B7F43" w:rsidRPr="006757FD">
                <w:rPr>
                  <w:rStyle w:val="Hyperlink"/>
                  <w:color w:val="auto"/>
                </w:rPr>
                <w:t>http://www.vgso.vic.gov.au/content/memoranda-understanding#definition</w:t>
              </w:r>
            </w:hyperlink>
          </w:p>
          <w:p w:rsidR="001B7F43" w:rsidRPr="006757FD" w:rsidRDefault="001B7F43" w:rsidP="00287F49">
            <w:pPr>
              <w:rPr>
                <w:b/>
              </w:rPr>
            </w:pPr>
          </w:p>
        </w:tc>
      </w:tr>
      <w:tr w:rsidR="006757FD" w:rsidRPr="006757FD" w:rsidTr="00A30074">
        <w:tc>
          <w:tcPr>
            <w:tcW w:w="1113" w:type="dxa"/>
          </w:tcPr>
          <w:p w:rsidR="00B0167D" w:rsidRPr="006757FD" w:rsidRDefault="00B0167D" w:rsidP="00287F49">
            <w:r w:rsidRPr="006757FD">
              <w:rPr>
                <w:rFonts w:cs="Arial"/>
                <w:shd w:val="clear" w:color="auto" w:fill="FFFFFF"/>
              </w:rPr>
              <w:t>NDAP</w:t>
            </w:r>
          </w:p>
        </w:tc>
        <w:tc>
          <w:tcPr>
            <w:tcW w:w="3140" w:type="dxa"/>
          </w:tcPr>
          <w:p w:rsidR="00B0167D" w:rsidRPr="006757FD" w:rsidRDefault="00B0167D" w:rsidP="00287F49">
            <w:r w:rsidRPr="006757FD">
              <w:rPr>
                <w:rFonts w:cs="Arial"/>
                <w:shd w:val="clear" w:color="auto" w:fill="FFFFFF"/>
              </w:rPr>
              <w:t>National Disability Advocacy Program</w:t>
            </w:r>
          </w:p>
        </w:tc>
        <w:tc>
          <w:tcPr>
            <w:tcW w:w="6657" w:type="dxa"/>
          </w:tcPr>
          <w:p w:rsidR="00B0167D" w:rsidRPr="006757FD" w:rsidRDefault="00B0167D" w:rsidP="00287F49">
            <w:r w:rsidRPr="006757FD">
              <w:rPr>
                <w:rFonts w:cs="Arial"/>
                <w:shd w:val="clear" w:color="auto" w:fill="FFFFFF"/>
              </w:rPr>
              <w:t>NDAP provides people with disability with access to effective disability advocacy that promotes, protects and ensures their full and equal enjoyment of all human rights enabling community participation.</w:t>
            </w:r>
          </w:p>
        </w:tc>
        <w:tc>
          <w:tcPr>
            <w:tcW w:w="3691" w:type="dxa"/>
          </w:tcPr>
          <w:p w:rsidR="00AA37E3" w:rsidRPr="006757FD" w:rsidRDefault="00A638DD" w:rsidP="00287F49">
            <w:pPr>
              <w:rPr>
                <w:rFonts w:cs="Arial"/>
                <w:shd w:val="clear" w:color="auto" w:fill="FFFFFF"/>
              </w:rPr>
            </w:pPr>
            <w:hyperlink r:id="rId57" w:history="1">
              <w:r w:rsidR="00AA37E3" w:rsidRPr="006757FD">
                <w:rPr>
                  <w:rStyle w:val="Hyperlink"/>
                  <w:rFonts w:cs="Arial"/>
                  <w:color w:val="auto"/>
                  <w:shd w:val="clear" w:color="auto" w:fill="FFFFFF"/>
                </w:rPr>
                <w:t>https://www.dss.gov.au/our-responsibilities/disability-and-carers/program-services/for-people-with-disability/national-disability-advocacy-program-ndap</w:t>
              </w:r>
            </w:hyperlink>
          </w:p>
        </w:tc>
      </w:tr>
      <w:tr w:rsidR="006757FD" w:rsidRPr="006757FD" w:rsidTr="00A30074">
        <w:tc>
          <w:tcPr>
            <w:tcW w:w="1113" w:type="dxa"/>
          </w:tcPr>
          <w:p w:rsidR="00B0167D" w:rsidRPr="006757FD" w:rsidRDefault="00B0167D" w:rsidP="00287F49">
            <w:r w:rsidRPr="006757FD">
              <w:t>NDCO</w:t>
            </w:r>
          </w:p>
        </w:tc>
        <w:tc>
          <w:tcPr>
            <w:tcW w:w="3140" w:type="dxa"/>
          </w:tcPr>
          <w:p w:rsidR="00B0167D" w:rsidRPr="006757FD" w:rsidRDefault="00B0167D" w:rsidP="00287F49">
            <w:r w:rsidRPr="006757FD">
              <w:t>National Disability Coordination Officer</w:t>
            </w:r>
          </w:p>
        </w:tc>
        <w:tc>
          <w:tcPr>
            <w:tcW w:w="6657" w:type="dxa"/>
          </w:tcPr>
          <w:p w:rsidR="00364B38" w:rsidRPr="006757FD" w:rsidRDefault="00D577FD" w:rsidP="00287F49">
            <w:pPr>
              <w:rPr>
                <w:shd w:val="clear" w:color="auto" w:fill="FFFFFF"/>
              </w:rPr>
            </w:pPr>
            <w:r w:rsidRPr="006757FD">
              <w:rPr>
                <w:shd w:val="clear" w:color="auto" w:fill="FFFFFF"/>
              </w:rPr>
              <w:t xml:space="preserve">The NDCO Program </w:t>
            </w:r>
            <w:r w:rsidR="00364B38" w:rsidRPr="006757FD">
              <w:rPr>
                <w:shd w:val="clear" w:color="auto" w:fill="FFFFFF"/>
              </w:rPr>
              <w:t xml:space="preserve">aims to improve the transition of people with a disability aged 15 to 64 into tertiary education and employment. </w:t>
            </w:r>
            <w:r w:rsidR="00C86C6D" w:rsidRPr="006757FD">
              <w:rPr>
                <w:shd w:val="clear" w:color="auto" w:fill="FFFFFF"/>
              </w:rPr>
              <w:t>Key Objectives:</w:t>
            </w:r>
          </w:p>
          <w:p w:rsidR="00364B38" w:rsidRPr="006757FD" w:rsidRDefault="00364B38" w:rsidP="00287F49">
            <w:pPr>
              <w:rPr>
                <w:shd w:val="clear" w:color="auto" w:fill="FFFFFF"/>
              </w:rPr>
            </w:pPr>
            <w:r w:rsidRPr="006757FD">
              <w:rPr>
                <w:shd w:val="clear" w:color="auto" w:fill="FFFFFF"/>
              </w:rPr>
              <w:t>Improve linkages between schools, tertiary education providers, employment service providers and providers of disability programs and assistance at all government levels;</w:t>
            </w:r>
          </w:p>
          <w:p w:rsidR="00364B38" w:rsidRPr="006757FD" w:rsidRDefault="00364B38" w:rsidP="00287F49">
            <w:pPr>
              <w:rPr>
                <w:shd w:val="clear" w:color="auto" w:fill="FFFFFF"/>
              </w:rPr>
            </w:pPr>
            <w:r w:rsidRPr="006757FD">
              <w:rPr>
                <w:shd w:val="clear" w:color="auto" w:fill="FFFFFF"/>
              </w:rPr>
              <w:t>Improve transitions for people with disability between school / community and tertiary education, and then to subsequent employment; and</w:t>
            </w:r>
          </w:p>
          <w:p w:rsidR="00B0167D" w:rsidRPr="006757FD" w:rsidRDefault="00364B38" w:rsidP="00287F49">
            <w:pPr>
              <w:rPr>
                <w:shd w:val="clear" w:color="auto" w:fill="FFFFFF"/>
              </w:rPr>
            </w:pPr>
            <w:r w:rsidRPr="006757FD">
              <w:rPr>
                <w:shd w:val="clear" w:color="auto" w:fill="FFFFFF"/>
              </w:rPr>
              <w:t>Improve participation by people with disability in tertiary education and subsequent employment.</w:t>
            </w:r>
          </w:p>
        </w:tc>
        <w:tc>
          <w:tcPr>
            <w:tcW w:w="3691" w:type="dxa"/>
          </w:tcPr>
          <w:p w:rsidR="00B0167D" w:rsidRPr="006757FD" w:rsidRDefault="00A638DD" w:rsidP="00287F49">
            <w:hyperlink r:id="rId58" w:history="1">
              <w:r w:rsidR="00D577FD" w:rsidRPr="006757FD">
                <w:rPr>
                  <w:rStyle w:val="Hyperlink"/>
                  <w:color w:val="auto"/>
                </w:rPr>
                <w:t>https://www.education.gov.au/national-disability-coordination-officer-programme</w:t>
              </w:r>
            </w:hyperlink>
          </w:p>
          <w:p w:rsidR="00D577FD" w:rsidRPr="006757FD" w:rsidRDefault="00D577FD" w:rsidP="00287F49"/>
          <w:p w:rsidR="00186659" w:rsidRPr="006757FD" w:rsidRDefault="00186659" w:rsidP="00287F49"/>
          <w:p w:rsidR="00D577FD" w:rsidRPr="006757FD" w:rsidRDefault="00A638DD" w:rsidP="00287F49">
            <w:hyperlink r:id="rId59" w:history="1">
              <w:r w:rsidR="00D577FD" w:rsidRPr="006757FD">
                <w:rPr>
                  <w:rStyle w:val="Hyperlink"/>
                  <w:color w:val="auto"/>
                </w:rPr>
                <w:t>http://www.ndcovictoria.net.au/</w:t>
              </w:r>
            </w:hyperlink>
          </w:p>
          <w:p w:rsidR="00D577FD" w:rsidRPr="006757FD" w:rsidRDefault="00D577FD" w:rsidP="00287F49"/>
        </w:tc>
      </w:tr>
      <w:tr w:rsidR="006757FD" w:rsidRPr="006757FD" w:rsidTr="00A30074">
        <w:tc>
          <w:tcPr>
            <w:tcW w:w="1113" w:type="dxa"/>
          </w:tcPr>
          <w:p w:rsidR="00B0167D" w:rsidRPr="006757FD" w:rsidRDefault="00B0167D" w:rsidP="00287F49">
            <w:r w:rsidRPr="006757FD">
              <w:t>NDIA</w:t>
            </w:r>
          </w:p>
        </w:tc>
        <w:tc>
          <w:tcPr>
            <w:tcW w:w="3140" w:type="dxa"/>
          </w:tcPr>
          <w:p w:rsidR="00B0167D" w:rsidRPr="006757FD" w:rsidRDefault="00B0167D" w:rsidP="00287F49">
            <w:r w:rsidRPr="006757FD">
              <w:t xml:space="preserve">National Disability Insurance </w:t>
            </w:r>
            <w:r w:rsidR="00D577FD" w:rsidRPr="006757FD">
              <w:t>Agency</w:t>
            </w:r>
          </w:p>
        </w:tc>
        <w:tc>
          <w:tcPr>
            <w:tcW w:w="6657" w:type="dxa"/>
          </w:tcPr>
          <w:p w:rsidR="00B0167D" w:rsidRPr="006757FD" w:rsidRDefault="00B0167D" w:rsidP="00287F49">
            <w:r w:rsidRPr="006757FD">
              <w:t>NDIA is an independent statutory agency who role is to implement the NDIS. NDIA are responsible for all things NDIS, they are the gatekeepers who will ensure timely rollout of NDIS.</w:t>
            </w:r>
          </w:p>
        </w:tc>
        <w:tc>
          <w:tcPr>
            <w:tcW w:w="3691" w:type="dxa"/>
          </w:tcPr>
          <w:p w:rsidR="00B0167D" w:rsidRPr="006757FD" w:rsidRDefault="00A638DD" w:rsidP="00287F49">
            <w:hyperlink r:id="rId60" w:history="1">
              <w:r w:rsidR="00AA37E3" w:rsidRPr="006757FD">
                <w:rPr>
                  <w:rStyle w:val="Hyperlink"/>
                  <w:color w:val="auto"/>
                </w:rPr>
                <w:t>https://www.ndis.gov.au/about-us</w:t>
              </w:r>
            </w:hyperlink>
          </w:p>
          <w:p w:rsidR="00AA37E3" w:rsidRPr="006757FD" w:rsidRDefault="00AA37E3" w:rsidP="00287F49"/>
        </w:tc>
      </w:tr>
    </w:tbl>
    <w:p w:rsidR="003402A7" w:rsidRPr="006757FD" w:rsidRDefault="003402A7" w:rsidP="00287F49">
      <w:pPr>
        <w:spacing w:line="240" w:lineRule="auto"/>
      </w:pPr>
      <w:r w:rsidRPr="006757FD">
        <w:br w:type="page"/>
      </w:r>
    </w:p>
    <w:p w:rsidR="00820A54" w:rsidRPr="006757FD" w:rsidRDefault="00820A54" w:rsidP="00287F49">
      <w:pPr>
        <w:spacing w:line="240" w:lineRule="auto"/>
      </w:pPr>
    </w:p>
    <w:tbl>
      <w:tblPr>
        <w:tblStyle w:val="TableGrid"/>
        <w:tblW w:w="14601" w:type="dxa"/>
        <w:tblInd w:w="-289" w:type="dxa"/>
        <w:tblLayout w:type="fixed"/>
        <w:tblLook w:val="04A0" w:firstRow="1" w:lastRow="0" w:firstColumn="1" w:lastColumn="0" w:noHBand="0" w:noVBand="1"/>
      </w:tblPr>
      <w:tblGrid>
        <w:gridCol w:w="1113"/>
        <w:gridCol w:w="3140"/>
        <w:gridCol w:w="6657"/>
        <w:gridCol w:w="3691"/>
      </w:tblGrid>
      <w:tr w:rsidR="006757FD" w:rsidRPr="006757FD" w:rsidTr="00234C83">
        <w:tc>
          <w:tcPr>
            <w:tcW w:w="1113" w:type="dxa"/>
            <w:shd w:val="clear" w:color="auto" w:fill="D0CECE" w:themeFill="background2" w:themeFillShade="E6"/>
          </w:tcPr>
          <w:p w:rsidR="00820A54" w:rsidRPr="006757FD" w:rsidRDefault="00820A54" w:rsidP="00234C83">
            <w:pPr>
              <w:rPr>
                <w:b/>
              </w:rPr>
            </w:pPr>
            <w:r w:rsidRPr="006757FD">
              <w:rPr>
                <w:b/>
              </w:rPr>
              <w:t>Acronym</w:t>
            </w:r>
          </w:p>
        </w:tc>
        <w:tc>
          <w:tcPr>
            <w:tcW w:w="3140" w:type="dxa"/>
            <w:shd w:val="clear" w:color="auto" w:fill="D0CECE" w:themeFill="background2" w:themeFillShade="E6"/>
          </w:tcPr>
          <w:p w:rsidR="00820A54" w:rsidRPr="006757FD" w:rsidRDefault="00820A54" w:rsidP="00234C83">
            <w:pPr>
              <w:rPr>
                <w:b/>
              </w:rPr>
            </w:pPr>
            <w:r w:rsidRPr="006757FD">
              <w:rPr>
                <w:b/>
              </w:rPr>
              <w:t>Title</w:t>
            </w:r>
          </w:p>
        </w:tc>
        <w:tc>
          <w:tcPr>
            <w:tcW w:w="6657" w:type="dxa"/>
            <w:shd w:val="clear" w:color="auto" w:fill="D0CECE" w:themeFill="background2" w:themeFillShade="E6"/>
          </w:tcPr>
          <w:p w:rsidR="00820A54" w:rsidRPr="006757FD" w:rsidRDefault="00820A54" w:rsidP="00234C83">
            <w:pPr>
              <w:rPr>
                <w:b/>
              </w:rPr>
            </w:pPr>
            <w:r w:rsidRPr="006757FD">
              <w:rPr>
                <w:b/>
              </w:rPr>
              <w:t>Description</w:t>
            </w:r>
          </w:p>
        </w:tc>
        <w:tc>
          <w:tcPr>
            <w:tcW w:w="3691" w:type="dxa"/>
            <w:shd w:val="clear" w:color="auto" w:fill="D0CECE" w:themeFill="background2" w:themeFillShade="E6"/>
          </w:tcPr>
          <w:p w:rsidR="00820A54" w:rsidRPr="006757FD" w:rsidRDefault="00820A54" w:rsidP="00234C83">
            <w:pPr>
              <w:rPr>
                <w:b/>
              </w:rPr>
            </w:pPr>
            <w:r w:rsidRPr="006757FD">
              <w:rPr>
                <w:b/>
              </w:rPr>
              <w:t>Website</w:t>
            </w:r>
          </w:p>
        </w:tc>
      </w:tr>
      <w:tr w:rsidR="006757FD" w:rsidRPr="006757FD" w:rsidTr="00C10DF1">
        <w:tc>
          <w:tcPr>
            <w:tcW w:w="1113" w:type="dxa"/>
          </w:tcPr>
          <w:p w:rsidR="00B0167D" w:rsidRPr="006757FD" w:rsidRDefault="00B0167D" w:rsidP="00287F49">
            <w:r w:rsidRPr="006757FD">
              <w:t>NDIS</w:t>
            </w:r>
          </w:p>
        </w:tc>
        <w:tc>
          <w:tcPr>
            <w:tcW w:w="3140" w:type="dxa"/>
          </w:tcPr>
          <w:p w:rsidR="00B0167D" w:rsidRPr="006757FD" w:rsidRDefault="00B0167D" w:rsidP="00287F49">
            <w:r w:rsidRPr="006757FD">
              <w:t>National Disability Insurance Scheme</w:t>
            </w:r>
          </w:p>
        </w:tc>
        <w:tc>
          <w:tcPr>
            <w:tcW w:w="6657" w:type="dxa"/>
          </w:tcPr>
          <w:p w:rsidR="00D577FD" w:rsidRPr="006757FD" w:rsidRDefault="00D577FD" w:rsidP="00287F49">
            <w:r w:rsidRPr="006757FD">
              <w:t>The National Disability Insurance Scheme (NDIS) is the new way of providing support for Australians with disability, their families and carers.</w:t>
            </w:r>
          </w:p>
          <w:p w:rsidR="00D577FD" w:rsidRPr="006757FD" w:rsidRDefault="00D577FD" w:rsidP="00287F49">
            <w:r w:rsidRPr="006757FD">
              <w:t>The NDIS will provide about 460,000 Australians under the age of 65 with a permanent and significant disability with the reasonable and necessary supports they need to live an ordinary life.</w:t>
            </w:r>
          </w:p>
          <w:p w:rsidR="00D577FD" w:rsidRPr="006757FD" w:rsidRDefault="00D577FD" w:rsidP="00287F49">
            <w:r w:rsidRPr="006757FD">
              <w:t>As an insurance scheme, the NDIS takes a lifetime approach, investing in people with disability early to improve their outcomes later in life.</w:t>
            </w:r>
          </w:p>
          <w:p w:rsidR="00D577FD" w:rsidRPr="006757FD" w:rsidRDefault="00D577FD" w:rsidP="00287F49">
            <w:r w:rsidRPr="006757FD">
              <w:t>The NDIS gives all Australians peace of mind that if their child or loved one is born with or acquires a permanent and significant disability they will get the support they need.</w:t>
            </w:r>
          </w:p>
          <w:p w:rsidR="00B0167D" w:rsidRPr="006757FD" w:rsidRDefault="00D577FD" w:rsidP="00287F49">
            <w:r w:rsidRPr="006757FD">
              <w:t>The NDIS supports people with disability to build skills and capability so they can participate in the community and employment.</w:t>
            </w:r>
          </w:p>
        </w:tc>
        <w:tc>
          <w:tcPr>
            <w:tcW w:w="3691" w:type="dxa"/>
          </w:tcPr>
          <w:p w:rsidR="00B0167D" w:rsidRPr="006757FD" w:rsidRDefault="00A638DD" w:rsidP="00287F49">
            <w:hyperlink r:id="rId61" w:history="1">
              <w:r w:rsidR="00AA37E3" w:rsidRPr="006757FD">
                <w:rPr>
                  <w:rStyle w:val="Hyperlink"/>
                  <w:color w:val="auto"/>
                </w:rPr>
                <w:t>https://www.ndis.gov.au/index.html</w:t>
              </w:r>
            </w:hyperlink>
          </w:p>
          <w:p w:rsidR="00AA37E3" w:rsidRPr="006757FD" w:rsidRDefault="00AA37E3" w:rsidP="00287F49"/>
        </w:tc>
      </w:tr>
      <w:tr w:rsidR="006757FD" w:rsidRPr="006757FD" w:rsidTr="00C10DF1">
        <w:tc>
          <w:tcPr>
            <w:tcW w:w="1113" w:type="dxa"/>
          </w:tcPr>
          <w:p w:rsidR="00B0167D" w:rsidRPr="006757FD" w:rsidRDefault="00B0167D" w:rsidP="00287F49">
            <w:r w:rsidRPr="006757FD">
              <w:t>NDP</w:t>
            </w:r>
          </w:p>
        </w:tc>
        <w:tc>
          <w:tcPr>
            <w:tcW w:w="3140" w:type="dxa"/>
          </w:tcPr>
          <w:p w:rsidR="00B0167D" w:rsidRPr="006757FD" w:rsidRDefault="00B0167D" w:rsidP="00287F49">
            <w:r w:rsidRPr="006757FD">
              <w:t>National Disability Practitioners</w:t>
            </w:r>
          </w:p>
        </w:tc>
        <w:tc>
          <w:tcPr>
            <w:tcW w:w="6657" w:type="dxa"/>
          </w:tcPr>
          <w:p w:rsidR="009E0625" w:rsidRPr="006757FD" w:rsidRDefault="00B0167D" w:rsidP="00186659">
            <w:r w:rsidRPr="006757FD">
              <w:t>NDP is a professional membership for all worke</w:t>
            </w:r>
            <w:r w:rsidR="00186659" w:rsidRPr="006757FD">
              <w:t>rs within the disability sector. A</w:t>
            </w:r>
            <w:r w:rsidR="009E0625" w:rsidRPr="006757FD">
              <w:t>s a division of Nati</w:t>
            </w:r>
            <w:r w:rsidR="00186659" w:rsidRPr="006757FD">
              <w:t xml:space="preserve">onal Disability Services (NDS) </w:t>
            </w:r>
            <w:r w:rsidR="009E0625" w:rsidRPr="006757FD">
              <w:t>NDP resulted from the merger of two professional bodies, Australian Disability Professionals and Disability Professionals Victoria.</w:t>
            </w:r>
          </w:p>
        </w:tc>
        <w:tc>
          <w:tcPr>
            <w:tcW w:w="3691" w:type="dxa"/>
          </w:tcPr>
          <w:p w:rsidR="00B0167D" w:rsidRPr="006757FD" w:rsidRDefault="00A638DD" w:rsidP="00287F49">
            <w:hyperlink r:id="rId62" w:history="1">
              <w:r w:rsidR="00AA37E3" w:rsidRPr="006757FD">
                <w:rPr>
                  <w:rStyle w:val="Hyperlink"/>
                  <w:color w:val="auto"/>
                </w:rPr>
                <w:t>https://www.ndp.org.au/</w:t>
              </w:r>
            </w:hyperlink>
          </w:p>
          <w:p w:rsidR="00AA37E3" w:rsidRPr="006757FD" w:rsidRDefault="00AA37E3" w:rsidP="00287F49"/>
          <w:p w:rsidR="00B0167D" w:rsidRPr="006757FD" w:rsidRDefault="00B0167D" w:rsidP="00287F49">
            <w:pPr>
              <w:tabs>
                <w:tab w:val="left" w:pos="3675"/>
              </w:tabs>
            </w:pPr>
            <w:r w:rsidRPr="006757FD">
              <w:tab/>
            </w:r>
          </w:p>
        </w:tc>
      </w:tr>
      <w:tr w:rsidR="006757FD" w:rsidRPr="006757FD" w:rsidTr="00C10DF1">
        <w:tc>
          <w:tcPr>
            <w:tcW w:w="1113" w:type="dxa"/>
          </w:tcPr>
          <w:p w:rsidR="00B0167D" w:rsidRPr="006757FD" w:rsidRDefault="00B0167D" w:rsidP="00287F49">
            <w:r w:rsidRPr="006757FD">
              <w:t>NDRC</w:t>
            </w:r>
          </w:p>
        </w:tc>
        <w:tc>
          <w:tcPr>
            <w:tcW w:w="3140" w:type="dxa"/>
          </w:tcPr>
          <w:p w:rsidR="00B0167D" w:rsidRPr="006757FD" w:rsidRDefault="00C12214" w:rsidP="00287F49">
            <w:r w:rsidRPr="006757FD">
              <w:rPr>
                <w:rStyle w:val="Strong"/>
                <w:rFonts w:cs="Tahoma"/>
                <w:b w:val="0"/>
                <w:bdr w:val="none" w:sz="0" w:space="0" w:color="auto" w:frame="1"/>
              </w:rPr>
              <w:t>National Disability Recruitment Coordinator</w:t>
            </w:r>
            <w:r w:rsidRPr="006757FD">
              <w:rPr>
                <w:rFonts w:cs="Tahoma"/>
              </w:rPr>
              <w:t> </w:t>
            </w:r>
          </w:p>
        </w:tc>
        <w:tc>
          <w:tcPr>
            <w:tcW w:w="6657" w:type="dxa"/>
          </w:tcPr>
          <w:p w:rsidR="00C12214" w:rsidRPr="006757FD" w:rsidRDefault="00C12214" w:rsidP="00287F49">
            <w:pPr>
              <w:pStyle w:val="NormalWeb"/>
              <w:spacing w:before="0" w:beforeAutospacing="0" w:after="0" w:afterAutospacing="0"/>
              <w:textAlignment w:val="baseline"/>
              <w:rPr>
                <w:rFonts w:asciiTheme="minorHAnsi" w:hAnsiTheme="minorHAnsi" w:cs="Tahoma"/>
                <w:sz w:val="22"/>
                <w:szCs w:val="22"/>
              </w:rPr>
            </w:pPr>
            <w:r w:rsidRPr="006757FD">
              <w:rPr>
                <w:rFonts w:asciiTheme="minorHAnsi" w:hAnsiTheme="minorHAnsi" w:cs="Tahoma"/>
                <w:sz w:val="22"/>
                <w:szCs w:val="22"/>
              </w:rPr>
              <w:t xml:space="preserve">NDRC is the employer engagement arm of </w:t>
            </w:r>
            <w:proofErr w:type="spellStart"/>
            <w:r w:rsidRPr="006757FD">
              <w:rPr>
                <w:rFonts w:asciiTheme="minorHAnsi" w:hAnsiTheme="minorHAnsi" w:cs="Tahoma"/>
                <w:sz w:val="22"/>
                <w:szCs w:val="22"/>
              </w:rPr>
              <w:t>JobAccess</w:t>
            </w:r>
            <w:proofErr w:type="spellEnd"/>
            <w:r w:rsidRPr="006757FD">
              <w:rPr>
                <w:rFonts w:asciiTheme="minorHAnsi" w:hAnsiTheme="minorHAnsi" w:cs="Tahoma"/>
                <w:sz w:val="22"/>
                <w:szCs w:val="22"/>
              </w:rPr>
              <w:t>.</w:t>
            </w:r>
          </w:p>
          <w:p w:rsidR="00B0167D" w:rsidRPr="006757FD" w:rsidRDefault="00C12214" w:rsidP="00287F49">
            <w:pPr>
              <w:pStyle w:val="NormalWeb"/>
              <w:spacing w:before="0" w:beforeAutospacing="0" w:after="0" w:afterAutospacing="0"/>
              <w:textAlignment w:val="baseline"/>
              <w:rPr>
                <w:rFonts w:asciiTheme="minorHAnsi" w:hAnsiTheme="minorHAnsi" w:cs="Tahoma"/>
                <w:sz w:val="22"/>
                <w:szCs w:val="22"/>
              </w:rPr>
            </w:pPr>
            <w:r w:rsidRPr="006757FD">
              <w:rPr>
                <w:rFonts w:asciiTheme="minorHAnsi" w:hAnsiTheme="minorHAnsi" w:cs="Tahoma"/>
                <w:sz w:val="22"/>
                <w:szCs w:val="22"/>
              </w:rPr>
              <w:t>The NDRC helps large employers build their disability knowledge and skills and access the talents of employees with disability. </w:t>
            </w:r>
          </w:p>
        </w:tc>
        <w:tc>
          <w:tcPr>
            <w:tcW w:w="3691" w:type="dxa"/>
          </w:tcPr>
          <w:p w:rsidR="00AA37E3" w:rsidRPr="006757FD" w:rsidRDefault="00A638DD" w:rsidP="00287F49">
            <w:hyperlink r:id="rId63" w:history="1">
              <w:r w:rsidR="00AA37E3" w:rsidRPr="006757FD">
                <w:rPr>
                  <w:rStyle w:val="Hyperlink"/>
                  <w:color w:val="auto"/>
                </w:rPr>
                <w:t>https://www.jobaccess.gov.au/employers/about-national-disability-recruitment-coordinator</w:t>
              </w:r>
            </w:hyperlink>
          </w:p>
        </w:tc>
      </w:tr>
      <w:tr w:rsidR="006757FD" w:rsidRPr="006757FD" w:rsidTr="00C10DF1">
        <w:tc>
          <w:tcPr>
            <w:tcW w:w="1113" w:type="dxa"/>
          </w:tcPr>
          <w:p w:rsidR="00B0167D" w:rsidRPr="006757FD" w:rsidRDefault="00B0167D" w:rsidP="00287F49">
            <w:r w:rsidRPr="006757FD">
              <w:t>NDS</w:t>
            </w:r>
          </w:p>
        </w:tc>
        <w:tc>
          <w:tcPr>
            <w:tcW w:w="3140" w:type="dxa"/>
          </w:tcPr>
          <w:p w:rsidR="00B0167D" w:rsidRPr="006757FD" w:rsidRDefault="00B0167D" w:rsidP="00287F49">
            <w:r w:rsidRPr="006757FD">
              <w:t>National Disability Services</w:t>
            </w:r>
          </w:p>
        </w:tc>
        <w:tc>
          <w:tcPr>
            <w:tcW w:w="6657" w:type="dxa"/>
          </w:tcPr>
          <w:p w:rsidR="00B0167D" w:rsidRPr="006757FD" w:rsidRDefault="00B0167D" w:rsidP="00287F49">
            <w:r w:rsidRPr="006757FD">
              <w:t>The NDS is the peak body for all non-government disability services.</w:t>
            </w:r>
          </w:p>
        </w:tc>
        <w:tc>
          <w:tcPr>
            <w:tcW w:w="3691" w:type="dxa"/>
          </w:tcPr>
          <w:p w:rsidR="00AA37E3" w:rsidRPr="006757FD" w:rsidRDefault="00A638DD" w:rsidP="00287F49">
            <w:hyperlink r:id="rId64" w:history="1">
              <w:r w:rsidR="00AA37E3" w:rsidRPr="006757FD">
                <w:rPr>
                  <w:rStyle w:val="Hyperlink"/>
                  <w:color w:val="auto"/>
                </w:rPr>
                <w:t>https://www.nds.org.au/</w:t>
              </w:r>
            </w:hyperlink>
          </w:p>
        </w:tc>
      </w:tr>
      <w:tr w:rsidR="006757FD" w:rsidRPr="006757FD" w:rsidTr="00C10DF1">
        <w:tc>
          <w:tcPr>
            <w:tcW w:w="1113" w:type="dxa"/>
          </w:tcPr>
          <w:p w:rsidR="00B0167D" w:rsidRPr="006757FD" w:rsidRDefault="00B0167D" w:rsidP="00287F49">
            <w:r w:rsidRPr="006757FD">
              <w:t>P2E</w:t>
            </w:r>
          </w:p>
        </w:tc>
        <w:tc>
          <w:tcPr>
            <w:tcW w:w="3140" w:type="dxa"/>
          </w:tcPr>
          <w:p w:rsidR="00B0167D" w:rsidRPr="006757FD" w:rsidRDefault="00B75167" w:rsidP="00287F49">
            <w:r w:rsidRPr="006757FD">
              <w:t xml:space="preserve">Passport </w:t>
            </w:r>
            <w:r w:rsidR="00B0167D" w:rsidRPr="006757FD">
              <w:t>to Employment</w:t>
            </w:r>
          </w:p>
        </w:tc>
        <w:tc>
          <w:tcPr>
            <w:tcW w:w="6657" w:type="dxa"/>
          </w:tcPr>
          <w:p w:rsidR="00B0167D" w:rsidRPr="006757FD" w:rsidRDefault="00B75167" w:rsidP="00287F49">
            <w:pPr>
              <w:pStyle w:val="NormalWeb"/>
              <w:shd w:val="clear" w:color="auto" w:fill="FFFFFF"/>
              <w:spacing w:before="0" w:beforeAutospacing="0" w:after="0" w:afterAutospacing="0"/>
              <w:rPr>
                <w:rFonts w:asciiTheme="minorHAnsi" w:hAnsiTheme="minorHAnsi" w:cs="Arial"/>
                <w:spacing w:val="8"/>
                <w:sz w:val="22"/>
                <w:szCs w:val="22"/>
              </w:rPr>
            </w:pPr>
            <w:r w:rsidRPr="006757FD">
              <w:rPr>
                <w:rFonts w:asciiTheme="minorHAnsi" w:hAnsiTheme="minorHAnsi" w:cs="Arial"/>
                <w:spacing w:val="8"/>
                <w:sz w:val="22"/>
                <w:szCs w:val="22"/>
              </w:rPr>
              <w:t>The NDCO’s P2E program aims to empower young people with disabilities to build their confidence and skills in leadership and self-advocacy. </w:t>
            </w:r>
          </w:p>
        </w:tc>
        <w:tc>
          <w:tcPr>
            <w:tcW w:w="3691" w:type="dxa"/>
          </w:tcPr>
          <w:p w:rsidR="00AA37E3" w:rsidRPr="006757FD" w:rsidRDefault="00A638DD" w:rsidP="00287F49">
            <w:hyperlink r:id="rId65" w:history="1">
              <w:r w:rsidR="00AA37E3" w:rsidRPr="006757FD">
                <w:rPr>
                  <w:rStyle w:val="Hyperlink"/>
                  <w:color w:val="auto"/>
                </w:rPr>
                <w:t>https://skillsplus.com.au/news/passport-2-employment-p2e-recognised-nationally/</w:t>
              </w:r>
            </w:hyperlink>
          </w:p>
        </w:tc>
      </w:tr>
    </w:tbl>
    <w:p w:rsidR="00820A54" w:rsidRPr="006757FD" w:rsidRDefault="00820A54">
      <w:r w:rsidRPr="006757FD">
        <w:br w:type="page"/>
      </w:r>
    </w:p>
    <w:p w:rsidR="00820A54" w:rsidRPr="006757FD" w:rsidRDefault="00820A54"/>
    <w:tbl>
      <w:tblPr>
        <w:tblStyle w:val="TableGrid"/>
        <w:tblW w:w="14601" w:type="dxa"/>
        <w:tblInd w:w="-289" w:type="dxa"/>
        <w:tblLayout w:type="fixed"/>
        <w:tblLook w:val="04A0" w:firstRow="1" w:lastRow="0" w:firstColumn="1" w:lastColumn="0" w:noHBand="0" w:noVBand="1"/>
      </w:tblPr>
      <w:tblGrid>
        <w:gridCol w:w="1113"/>
        <w:gridCol w:w="3140"/>
        <w:gridCol w:w="6657"/>
        <w:gridCol w:w="3691"/>
      </w:tblGrid>
      <w:tr w:rsidR="006757FD" w:rsidRPr="006757FD" w:rsidTr="00234C83">
        <w:tc>
          <w:tcPr>
            <w:tcW w:w="1113" w:type="dxa"/>
            <w:shd w:val="clear" w:color="auto" w:fill="D0CECE" w:themeFill="background2" w:themeFillShade="E6"/>
          </w:tcPr>
          <w:p w:rsidR="00820A54" w:rsidRPr="006757FD" w:rsidRDefault="00820A54" w:rsidP="00234C83">
            <w:pPr>
              <w:rPr>
                <w:b/>
              </w:rPr>
            </w:pPr>
            <w:r w:rsidRPr="006757FD">
              <w:rPr>
                <w:b/>
              </w:rPr>
              <w:t>Acronym</w:t>
            </w:r>
          </w:p>
        </w:tc>
        <w:tc>
          <w:tcPr>
            <w:tcW w:w="3140" w:type="dxa"/>
            <w:shd w:val="clear" w:color="auto" w:fill="D0CECE" w:themeFill="background2" w:themeFillShade="E6"/>
          </w:tcPr>
          <w:p w:rsidR="00820A54" w:rsidRPr="006757FD" w:rsidRDefault="00820A54" w:rsidP="00234C83">
            <w:pPr>
              <w:rPr>
                <w:b/>
              </w:rPr>
            </w:pPr>
            <w:r w:rsidRPr="006757FD">
              <w:rPr>
                <w:b/>
              </w:rPr>
              <w:t>Title</w:t>
            </w:r>
          </w:p>
        </w:tc>
        <w:tc>
          <w:tcPr>
            <w:tcW w:w="6657" w:type="dxa"/>
            <w:shd w:val="clear" w:color="auto" w:fill="D0CECE" w:themeFill="background2" w:themeFillShade="E6"/>
          </w:tcPr>
          <w:p w:rsidR="00820A54" w:rsidRPr="006757FD" w:rsidRDefault="00820A54" w:rsidP="00234C83">
            <w:pPr>
              <w:rPr>
                <w:b/>
              </w:rPr>
            </w:pPr>
            <w:r w:rsidRPr="006757FD">
              <w:rPr>
                <w:b/>
              </w:rPr>
              <w:t>Description</w:t>
            </w:r>
          </w:p>
        </w:tc>
        <w:tc>
          <w:tcPr>
            <w:tcW w:w="3691" w:type="dxa"/>
            <w:shd w:val="clear" w:color="auto" w:fill="D0CECE" w:themeFill="background2" w:themeFillShade="E6"/>
          </w:tcPr>
          <w:p w:rsidR="00820A54" w:rsidRPr="006757FD" w:rsidRDefault="00820A54" w:rsidP="00234C83">
            <w:pPr>
              <w:rPr>
                <w:b/>
              </w:rPr>
            </w:pPr>
            <w:r w:rsidRPr="006757FD">
              <w:rPr>
                <w:b/>
              </w:rPr>
              <w:t>Website</w:t>
            </w:r>
          </w:p>
        </w:tc>
      </w:tr>
      <w:tr w:rsidR="006757FD" w:rsidRPr="006757FD" w:rsidTr="00C10DF1">
        <w:tc>
          <w:tcPr>
            <w:tcW w:w="1113" w:type="dxa"/>
          </w:tcPr>
          <w:p w:rsidR="00C10DF1" w:rsidRPr="006757FD" w:rsidRDefault="00C10DF1" w:rsidP="00401B8B">
            <w:proofErr w:type="spellStart"/>
            <w:r w:rsidRPr="006757FD">
              <w:t>PaTH</w:t>
            </w:r>
            <w:proofErr w:type="spellEnd"/>
          </w:p>
        </w:tc>
        <w:tc>
          <w:tcPr>
            <w:tcW w:w="3140" w:type="dxa"/>
          </w:tcPr>
          <w:p w:rsidR="00C10DF1" w:rsidRPr="006757FD" w:rsidRDefault="00C10DF1" w:rsidP="00401B8B">
            <w:r w:rsidRPr="006757FD">
              <w:t xml:space="preserve">Youth Jobs </w:t>
            </w:r>
            <w:proofErr w:type="spellStart"/>
            <w:r w:rsidRPr="006757FD">
              <w:t>PaTH</w:t>
            </w:r>
            <w:proofErr w:type="spellEnd"/>
            <w:r w:rsidRPr="006757FD">
              <w:t xml:space="preserve"> (Prepare-Train-Hire) Internship</w:t>
            </w:r>
          </w:p>
        </w:tc>
        <w:tc>
          <w:tcPr>
            <w:tcW w:w="6657" w:type="dxa"/>
          </w:tcPr>
          <w:p w:rsidR="00C10DF1" w:rsidRPr="006757FD" w:rsidRDefault="00C10DF1" w:rsidP="00401B8B">
            <w:pPr>
              <w:pStyle w:val="NormalWeb"/>
              <w:shd w:val="clear" w:color="auto" w:fill="FFFFFF"/>
              <w:spacing w:before="0" w:beforeAutospacing="0" w:after="165" w:afterAutospacing="0"/>
              <w:rPr>
                <w:rFonts w:asciiTheme="minorHAnsi" w:hAnsiTheme="minorHAnsi"/>
                <w:sz w:val="22"/>
                <w:szCs w:val="22"/>
              </w:rPr>
            </w:pPr>
            <w:r w:rsidRPr="006757FD">
              <w:rPr>
                <w:rFonts w:asciiTheme="minorHAnsi" w:hAnsiTheme="minorHAnsi" w:cs="Arial"/>
                <w:sz w:val="22"/>
                <w:szCs w:val="22"/>
              </w:rPr>
              <w:t xml:space="preserve">work experience in a local business by taking part in a </w:t>
            </w:r>
            <w:proofErr w:type="spellStart"/>
            <w:r w:rsidRPr="006757FD">
              <w:rPr>
                <w:rFonts w:asciiTheme="minorHAnsi" w:hAnsiTheme="minorHAnsi" w:cs="Arial"/>
                <w:sz w:val="22"/>
                <w:szCs w:val="22"/>
              </w:rPr>
              <w:t>PaTH</w:t>
            </w:r>
            <w:proofErr w:type="spellEnd"/>
            <w:r w:rsidRPr="006757FD">
              <w:rPr>
                <w:rFonts w:asciiTheme="minorHAnsi" w:hAnsiTheme="minorHAnsi" w:cs="Arial"/>
                <w:sz w:val="22"/>
                <w:szCs w:val="22"/>
              </w:rPr>
              <w:t xml:space="preserve"> internship. An internship is an opportunity to show an employer what you can do and how you fit into their business with the potential to get a job at the end of it. Internships can run for between 4 and 12 weeks and include 30 to 50 hours of work experience per </w:t>
            </w:r>
            <w:proofErr w:type="spellStart"/>
            <w:r w:rsidRPr="006757FD">
              <w:rPr>
                <w:rFonts w:asciiTheme="minorHAnsi" w:hAnsiTheme="minorHAnsi" w:cs="Arial"/>
                <w:sz w:val="22"/>
                <w:szCs w:val="22"/>
              </w:rPr>
              <w:t>fortnight.</w:t>
            </w:r>
            <w:r w:rsidRPr="006757FD">
              <w:rPr>
                <w:rFonts w:asciiTheme="minorHAnsi" w:hAnsiTheme="minorHAnsi"/>
                <w:sz w:val="22"/>
                <w:szCs w:val="22"/>
              </w:rPr>
              <w:t>You</w:t>
            </w:r>
            <w:proofErr w:type="spellEnd"/>
            <w:r w:rsidRPr="006757FD">
              <w:rPr>
                <w:rFonts w:asciiTheme="minorHAnsi" w:hAnsiTheme="minorHAnsi"/>
                <w:sz w:val="22"/>
                <w:szCs w:val="22"/>
              </w:rPr>
              <w:t xml:space="preserve"> may be eligible to take part in an internship if you are aged 17 to 24, on income support with mutual obligation requirements and have been registered with </w:t>
            </w:r>
            <w:proofErr w:type="spellStart"/>
            <w:r w:rsidRPr="006757FD">
              <w:rPr>
                <w:rFonts w:asciiTheme="minorHAnsi" w:hAnsiTheme="minorHAnsi"/>
                <w:sz w:val="22"/>
                <w:szCs w:val="22"/>
              </w:rPr>
              <w:t>jobactive</w:t>
            </w:r>
            <w:proofErr w:type="spellEnd"/>
            <w:r w:rsidRPr="006757FD">
              <w:rPr>
                <w:rFonts w:asciiTheme="minorHAnsi" w:hAnsiTheme="minorHAnsi"/>
                <w:sz w:val="22"/>
                <w:szCs w:val="22"/>
              </w:rPr>
              <w:t xml:space="preserve">, Transition to Work or Disability Employment Services for at least six months. Your provider will be able to confirm your eligibility for a </w:t>
            </w:r>
            <w:proofErr w:type="spellStart"/>
            <w:r w:rsidRPr="006757FD">
              <w:rPr>
                <w:rFonts w:asciiTheme="minorHAnsi" w:hAnsiTheme="minorHAnsi"/>
                <w:sz w:val="22"/>
                <w:szCs w:val="22"/>
              </w:rPr>
              <w:t>PaTH</w:t>
            </w:r>
            <w:proofErr w:type="spellEnd"/>
            <w:r w:rsidRPr="006757FD">
              <w:rPr>
                <w:rFonts w:asciiTheme="minorHAnsi" w:hAnsiTheme="minorHAnsi"/>
                <w:sz w:val="22"/>
                <w:szCs w:val="22"/>
              </w:rPr>
              <w:t xml:space="preserve"> internship.</w:t>
            </w:r>
          </w:p>
        </w:tc>
        <w:tc>
          <w:tcPr>
            <w:tcW w:w="3691" w:type="dxa"/>
          </w:tcPr>
          <w:p w:rsidR="00C10DF1" w:rsidRPr="006757FD" w:rsidRDefault="00A638DD" w:rsidP="00401B8B">
            <w:hyperlink r:id="rId66" w:history="1">
              <w:r w:rsidR="00C10DF1" w:rsidRPr="006757FD">
                <w:rPr>
                  <w:rStyle w:val="Hyperlink"/>
                  <w:color w:val="auto"/>
                </w:rPr>
                <w:t>https://jobsearch.gov.au/path/jobseekers/internships</w:t>
              </w:r>
            </w:hyperlink>
          </w:p>
          <w:p w:rsidR="00C10DF1" w:rsidRPr="006757FD" w:rsidRDefault="00C10DF1" w:rsidP="00401B8B"/>
        </w:tc>
      </w:tr>
      <w:tr w:rsidR="006757FD" w:rsidRPr="006757FD" w:rsidTr="00565E7C">
        <w:tc>
          <w:tcPr>
            <w:tcW w:w="1113" w:type="dxa"/>
          </w:tcPr>
          <w:p w:rsidR="00B0167D" w:rsidRPr="006757FD" w:rsidRDefault="00B0167D" w:rsidP="00287F49">
            <w:r w:rsidRPr="006757FD">
              <w:t>PWD</w:t>
            </w:r>
          </w:p>
        </w:tc>
        <w:tc>
          <w:tcPr>
            <w:tcW w:w="3140" w:type="dxa"/>
          </w:tcPr>
          <w:p w:rsidR="00287F49" w:rsidRPr="006757FD" w:rsidRDefault="00B0167D" w:rsidP="00287F49">
            <w:r w:rsidRPr="006757FD">
              <w:t>People/Person with Disability</w:t>
            </w:r>
            <w:r w:rsidR="006C5AF8" w:rsidRPr="006757FD">
              <w:t xml:space="preserve"> </w:t>
            </w:r>
          </w:p>
          <w:p w:rsidR="00B0167D" w:rsidRPr="006757FD" w:rsidRDefault="006C5AF8" w:rsidP="00287F49">
            <w:r w:rsidRPr="006757FD">
              <w:t>SWD Student with Disability</w:t>
            </w:r>
          </w:p>
        </w:tc>
        <w:tc>
          <w:tcPr>
            <w:tcW w:w="6657" w:type="dxa"/>
          </w:tcPr>
          <w:p w:rsidR="00B0167D" w:rsidRPr="006757FD" w:rsidRDefault="00B0167D" w:rsidP="00287F49"/>
        </w:tc>
        <w:tc>
          <w:tcPr>
            <w:tcW w:w="3691" w:type="dxa"/>
          </w:tcPr>
          <w:p w:rsidR="00B0167D" w:rsidRPr="006757FD" w:rsidRDefault="00B0167D" w:rsidP="00287F49"/>
        </w:tc>
      </w:tr>
      <w:tr w:rsidR="006757FD" w:rsidRPr="006757FD" w:rsidTr="00565E7C">
        <w:tc>
          <w:tcPr>
            <w:tcW w:w="1113" w:type="dxa"/>
          </w:tcPr>
          <w:p w:rsidR="00494DD5" w:rsidRPr="006757FD" w:rsidRDefault="00494DD5" w:rsidP="00287F49">
            <w:r w:rsidRPr="006757FD">
              <w:t>PD</w:t>
            </w:r>
          </w:p>
        </w:tc>
        <w:tc>
          <w:tcPr>
            <w:tcW w:w="3140" w:type="dxa"/>
          </w:tcPr>
          <w:p w:rsidR="00494DD5" w:rsidRPr="006757FD" w:rsidRDefault="00494DD5" w:rsidP="00287F49">
            <w:r w:rsidRPr="006757FD">
              <w:t>Professional Development</w:t>
            </w:r>
          </w:p>
        </w:tc>
        <w:tc>
          <w:tcPr>
            <w:tcW w:w="6657" w:type="dxa"/>
          </w:tcPr>
          <w:p w:rsidR="00494DD5" w:rsidRPr="006757FD" w:rsidRDefault="00494DD5" w:rsidP="00287F49">
            <w:r w:rsidRPr="006757FD">
              <w:t>Professional development is learning to earn or maintain professional credentials such as academic degrees to formal coursework, attending conferences, and informal learning opportunities situated in practice.</w:t>
            </w:r>
          </w:p>
        </w:tc>
        <w:tc>
          <w:tcPr>
            <w:tcW w:w="3691" w:type="dxa"/>
          </w:tcPr>
          <w:p w:rsidR="00494DD5" w:rsidRPr="006757FD" w:rsidRDefault="00494DD5" w:rsidP="00287F49">
            <w:r w:rsidRPr="006757FD">
              <w:t>https://www.vit.vic.edu.au/registered-teacher/renewing-my-registration/professional-development</w:t>
            </w:r>
          </w:p>
        </w:tc>
      </w:tr>
      <w:tr w:rsidR="006757FD" w:rsidRPr="006757FD" w:rsidTr="00565E7C">
        <w:tc>
          <w:tcPr>
            <w:tcW w:w="1113" w:type="dxa"/>
          </w:tcPr>
          <w:p w:rsidR="001B7F43" w:rsidRPr="006757FD" w:rsidRDefault="001B7F43" w:rsidP="00287F49">
            <w:r w:rsidRPr="006757FD">
              <w:t>RPL</w:t>
            </w:r>
          </w:p>
        </w:tc>
        <w:tc>
          <w:tcPr>
            <w:tcW w:w="3140" w:type="dxa"/>
          </w:tcPr>
          <w:p w:rsidR="001B7F43" w:rsidRPr="006757FD" w:rsidRDefault="001B7F43" w:rsidP="00287F49">
            <w:r w:rsidRPr="006757FD">
              <w:t>Recognition for prior Learning</w:t>
            </w:r>
          </w:p>
        </w:tc>
        <w:tc>
          <w:tcPr>
            <w:tcW w:w="6657" w:type="dxa"/>
          </w:tcPr>
          <w:p w:rsidR="001B7F43" w:rsidRPr="006757FD" w:rsidRDefault="001B7F43" w:rsidP="00287F49">
            <w:r w:rsidRPr="006757FD">
              <w:t>Recognition of prior learning (RPL) is the process of assessing and granting credit to students for skills, knowledge and experience gained through work experience and previous learning.</w:t>
            </w:r>
            <w:r w:rsidR="00494DD5" w:rsidRPr="006757FD">
              <w:t xml:space="preserve"> </w:t>
            </w:r>
          </w:p>
        </w:tc>
        <w:tc>
          <w:tcPr>
            <w:tcW w:w="3691" w:type="dxa"/>
          </w:tcPr>
          <w:p w:rsidR="001B7F43" w:rsidRPr="006757FD" w:rsidRDefault="00A638DD" w:rsidP="00287F49">
            <w:hyperlink r:id="rId67" w:history="1">
              <w:r w:rsidR="00494DD5" w:rsidRPr="006757FD">
                <w:rPr>
                  <w:rStyle w:val="Hyperlink"/>
                  <w:color w:val="auto"/>
                </w:rPr>
                <w:t>https://www.education.gov.au/recognition-prior-learning-rpl-assessment-toolkits</w:t>
              </w:r>
            </w:hyperlink>
          </w:p>
          <w:p w:rsidR="00494DD5" w:rsidRPr="006757FD" w:rsidRDefault="00494DD5" w:rsidP="00287F49"/>
        </w:tc>
      </w:tr>
      <w:tr w:rsidR="006757FD" w:rsidRPr="006757FD" w:rsidTr="00565E7C">
        <w:tc>
          <w:tcPr>
            <w:tcW w:w="1113" w:type="dxa"/>
          </w:tcPr>
          <w:p w:rsidR="00B0167D" w:rsidRPr="006757FD" w:rsidRDefault="00B0167D" w:rsidP="00287F49">
            <w:r w:rsidRPr="006757FD">
              <w:t>RTO</w:t>
            </w:r>
          </w:p>
        </w:tc>
        <w:tc>
          <w:tcPr>
            <w:tcW w:w="3140" w:type="dxa"/>
          </w:tcPr>
          <w:p w:rsidR="00B0167D" w:rsidRPr="006757FD" w:rsidRDefault="00B0167D" w:rsidP="00287F49">
            <w:r w:rsidRPr="006757FD">
              <w:t>Registered Training Organisation</w:t>
            </w:r>
          </w:p>
        </w:tc>
        <w:tc>
          <w:tcPr>
            <w:tcW w:w="6657" w:type="dxa"/>
          </w:tcPr>
          <w:p w:rsidR="00BE0A70" w:rsidRPr="006757FD" w:rsidRDefault="00BE0A70" w:rsidP="00287F49">
            <w:r w:rsidRPr="006757FD">
              <w:t>RTOs are those training providers registered by ASQA (or a state regulator) to deliver VET services.</w:t>
            </w:r>
          </w:p>
          <w:p w:rsidR="00B0167D" w:rsidRPr="006757FD" w:rsidRDefault="00BE0A70" w:rsidP="00287F49">
            <w:r w:rsidRPr="006757FD">
              <w:t>RTOs are recognised as providers of quality-assured and nationally recognised training and qualifications.</w:t>
            </w:r>
          </w:p>
        </w:tc>
        <w:tc>
          <w:tcPr>
            <w:tcW w:w="3691" w:type="dxa"/>
          </w:tcPr>
          <w:p w:rsidR="00B0167D" w:rsidRPr="006757FD" w:rsidRDefault="00A638DD" w:rsidP="00287F49">
            <w:hyperlink r:id="rId68" w:history="1">
              <w:r w:rsidR="00AA37E3" w:rsidRPr="006757FD">
                <w:rPr>
                  <w:rStyle w:val="Hyperlink"/>
                  <w:color w:val="auto"/>
                </w:rPr>
                <w:t>https://training.gov.au/</w:t>
              </w:r>
            </w:hyperlink>
          </w:p>
          <w:p w:rsidR="00AA37E3" w:rsidRPr="006757FD" w:rsidRDefault="00AA37E3" w:rsidP="00287F49"/>
        </w:tc>
      </w:tr>
      <w:tr w:rsidR="006757FD" w:rsidRPr="006757FD" w:rsidTr="00565E7C">
        <w:tc>
          <w:tcPr>
            <w:tcW w:w="1113" w:type="dxa"/>
          </w:tcPr>
          <w:p w:rsidR="00B0167D" w:rsidRPr="006757FD" w:rsidRDefault="00B0167D" w:rsidP="00287F49">
            <w:r w:rsidRPr="006757FD">
              <w:t>SBAT</w:t>
            </w:r>
          </w:p>
        </w:tc>
        <w:tc>
          <w:tcPr>
            <w:tcW w:w="3140" w:type="dxa"/>
          </w:tcPr>
          <w:p w:rsidR="00B0167D" w:rsidRPr="006757FD" w:rsidRDefault="00B0167D" w:rsidP="00287F49">
            <w:r w:rsidRPr="006757FD">
              <w:t>School Based Apprenticeships and Traineeships</w:t>
            </w:r>
          </w:p>
        </w:tc>
        <w:tc>
          <w:tcPr>
            <w:tcW w:w="6657" w:type="dxa"/>
          </w:tcPr>
          <w:p w:rsidR="00B0167D" w:rsidRPr="006757FD" w:rsidRDefault="00D714E2" w:rsidP="00287F49">
            <w:r w:rsidRPr="006757FD">
              <w:t>SBAT is an apprenticeship or traineeship undertaken by a student enrolled in a senior secondary program (VCE or VCAL), with at least one day per week timetabled to be spent on the job or in training during the normal school week.</w:t>
            </w:r>
          </w:p>
        </w:tc>
        <w:tc>
          <w:tcPr>
            <w:tcW w:w="3691" w:type="dxa"/>
          </w:tcPr>
          <w:p w:rsidR="00C46DC2" w:rsidRPr="006757FD" w:rsidRDefault="00A638DD" w:rsidP="00287F49">
            <w:hyperlink r:id="rId69" w:history="1">
              <w:r w:rsidR="00AA37E3" w:rsidRPr="006757FD">
                <w:rPr>
                  <w:rStyle w:val="Hyperlink"/>
                  <w:color w:val="auto"/>
                </w:rPr>
                <w:t>http://www.vcaa.vic.edu.au/Pages/vet/programs/sbat.aspx</w:t>
              </w:r>
            </w:hyperlink>
          </w:p>
          <w:p w:rsidR="00D714E2" w:rsidRPr="006757FD" w:rsidRDefault="00D714E2" w:rsidP="00287F49"/>
          <w:p w:rsidR="00AA37E3" w:rsidRPr="006757FD" w:rsidRDefault="00A638DD" w:rsidP="00287F49">
            <w:hyperlink r:id="rId70" w:history="1">
              <w:r w:rsidR="00AA37E3" w:rsidRPr="006757FD">
                <w:rPr>
                  <w:rStyle w:val="Hyperlink"/>
                  <w:color w:val="auto"/>
                </w:rPr>
                <w:t>https://www.australianapprenticeships.gov.au/australian-apprentices</w:t>
              </w:r>
            </w:hyperlink>
          </w:p>
        </w:tc>
      </w:tr>
    </w:tbl>
    <w:p w:rsidR="00820A54" w:rsidRPr="006757FD" w:rsidRDefault="00820A54">
      <w:r w:rsidRPr="006757FD">
        <w:br w:type="page"/>
      </w:r>
    </w:p>
    <w:p w:rsidR="00820A54" w:rsidRPr="006757FD" w:rsidRDefault="00820A54"/>
    <w:tbl>
      <w:tblPr>
        <w:tblStyle w:val="TableGrid"/>
        <w:tblW w:w="14601" w:type="dxa"/>
        <w:tblInd w:w="-289" w:type="dxa"/>
        <w:tblLayout w:type="fixed"/>
        <w:tblLook w:val="04A0" w:firstRow="1" w:lastRow="0" w:firstColumn="1" w:lastColumn="0" w:noHBand="0" w:noVBand="1"/>
      </w:tblPr>
      <w:tblGrid>
        <w:gridCol w:w="1113"/>
        <w:gridCol w:w="3140"/>
        <w:gridCol w:w="6657"/>
        <w:gridCol w:w="3691"/>
      </w:tblGrid>
      <w:tr w:rsidR="006757FD" w:rsidRPr="006757FD" w:rsidTr="00234C83">
        <w:tc>
          <w:tcPr>
            <w:tcW w:w="1113" w:type="dxa"/>
            <w:shd w:val="clear" w:color="auto" w:fill="D0CECE" w:themeFill="background2" w:themeFillShade="E6"/>
          </w:tcPr>
          <w:p w:rsidR="00820A54" w:rsidRPr="006757FD" w:rsidRDefault="00820A54" w:rsidP="00234C83">
            <w:pPr>
              <w:rPr>
                <w:b/>
              </w:rPr>
            </w:pPr>
            <w:r w:rsidRPr="006757FD">
              <w:rPr>
                <w:b/>
              </w:rPr>
              <w:t>Acronym</w:t>
            </w:r>
          </w:p>
        </w:tc>
        <w:tc>
          <w:tcPr>
            <w:tcW w:w="3140" w:type="dxa"/>
            <w:shd w:val="clear" w:color="auto" w:fill="D0CECE" w:themeFill="background2" w:themeFillShade="E6"/>
          </w:tcPr>
          <w:p w:rsidR="00820A54" w:rsidRPr="006757FD" w:rsidRDefault="00820A54" w:rsidP="00234C83">
            <w:pPr>
              <w:rPr>
                <w:b/>
              </w:rPr>
            </w:pPr>
            <w:r w:rsidRPr="006757FD">
              <w:rPr>
                <w:b/>
              </w:rPr>
              <w:t>Title</w:t>
            </w:r>
          </w:p>
        </w:tc>
        <w:tc>
          <w:tcPr>
            <w:tcW w:w="6657" w:type="dxa"/>
            <w:shd w:val="clear" w:color="auto" w:fill="D0CECE" w:themeFill="background2" w:themeFillShade="E6"/>
          </w:tcPr>
          <w:p w:rsidR="00820A54" w:rsidRPr="006757FD" w:rsidRDefault="00820A54" w:rsidP="00234C83">
            <w:pPr>
              <w:rPr>
                <w:b/>
              </w:rPr>
            </w:pPr>
            <w:r w:rsidRPr="006757FD">
              <w:rPr>
                <w:b/>
              </w:rPr>
              <w:t>Description</w:t>
            </w:r>
          </w:p>
        </w:tc>
        <w:tc>
          <w:tcPr>
            <w:tcW w:w="3691" w:type="dxa"/>
            <w:shd w:val="clear" w:color="auto" w:fill="D0CECE" w:themeFill="background2" w:themeFillShade="E6"/>
          </w:tcPr>
          <w:p w:rsidR="00820A54" w:rsidRPr="006757FD" w:rsidRDefault="00820A54" w:rsidP="00234C83">
            <w:pPr>
              <w:rPr>
                <w:b/>
              </w:rPr>
            </w:pPr>
            <w:r w:rsidRPr="006757FD">
              <w:rPr>
                <w:b/>
              </w:rPr>
              <w:t>Website</w:t>
            </w:r>
          </w:p>
        </w:tc>
      </w:tr>
      <w:tr w:rsidR="006757FD" w:rsidRPr="006757FD" w:rsidTr="00820A54">
        <w:tc>
          <w:tcPr>
            <w:tcW w:w="1113" w:type="dxa"/>
          </w:tcPr>
          <w:p w:rsidR="00B0167D" w:rsidRPr="006757FD" w:rsidRDefault="00B0167D" w:rsidP="00287F49">
            <w:r w:rsidRPr="006757FD">
              <w:t>SDS</w:t>
            </w:r>
          </w:p>
        </w:tc>
        <w:tc>
          <w:tcPr>
            <w:tcW w:w="3140" w:type="dxa"/>
          </w:tcPr>
          <w:p w:rsidR="00B0167D" w:rsidRPr="006757FD" w:rsidRDefault="00B0167D" w:rsidP="00287F49">
            <w:pPr>
              <w:rPr>
                <w:rFonts w:cs="Arial"/>
                <w:shd w:val="clear" w:color="auto" w:fill="FFFFFF"/>
              </w:rPr>
            </w:pPr>
            <w:r w:rsidRPr="006757FD">
              <w:rPr>
                <w:rFonts w:cs="Arial"/>
                <w:shd w:val="clear" w:color="auto" w:fill="FFFFFF"/>
              </w:rPr>
              <w:t>Special Development School</w:t>
            </w:r>
          </w:p>
          <w:p w:rsidR="0018712E" w:rsidRPr="006757FD" w:rsidRDefault="0018712E" w:rsidP="00287F49"/>
        </w:tc>
        <w:tc>
          <w:tcPr>
            <w:tcW w:w="6657" w:type="dxa"/>
          </w:tcPr>
          <w:p w:rsidR="0018712E" w:rsidRPr="006757FD" w:rsidRDefault="0018712E" w:rsidP="009C383D"/>
        </w:tc>
        <w:tc>
          <w:tcPr>
            <w:tcW w:w="3691" w:type="dxa"/>
          </w:tcPr>
          <w:p w:rsidR="00B0167D" w:rsidRPr="006757FD" w:rsidRDefault="00A638DD" w:rsidP="00287F49">
            <w:hyperlink r:id="rId71" w:history="1">
              <w:r w:rsidR="0018712E" w:rsidRPr="006757FD">
                <w:rPr>
                  <w:rStyle w:val="Hyperlink"/>
                  <w:color w:val="auto"/>
                </w:rPr>
                <w:t>http://acd.org.au/government-specialist-schools-units/</w:t>
              </w:r>
            </w:hyperlink>
          </w:p>
          <w:p w:rsidR="0018712E" w:rsidRPr="006757FD" w:rsidRDefault="0018712E" w:rsidP="00287F49"/>
          <w:p w:rsidR="0018712E" w:rsidRPr="006757FD" w:rsidRDefault="00A638DD" w:rsidP="00287F49">
            <w:hyperlink r:id="rId72" w:history="1">
              <w:r w:rsidR="00AA37E3" w:rsidRPr="006757FD">
                <w:rPr>
                  <w:rStyle w:val="Hyperlink"/>
                  <w:color w:val="auto"/>
                </w:rPr>
                <w:t>https://www.australianschoolsdirectory.com.au/search-specialneeds.php</w:t>
              </w:r>
            </w:hyperlink>
          </w:p>
          <w:p w:rsidR="00AA37E3" w:rsidRPr="006757FD" w:rsidRDefault="00AA37E3" w:rsidP="00287F49"/>
        </w:tc>
      </w:tr>
      <w:tr w:rsidR="006757FD" w:rsidRPr="006757FD" w:rsidTr="00820A54">
        <w:tc>
          <w:tcPr>
            <w:tcW w:w="1113" w:type="dxa"/>
          </w:tcPr>
          <w:p w:rsidR="00861BE5" w:rsidRPr="006757FD" w:rsidRDefault="003402A7" w:rsidP="00287F49">
            <w:r w:rsidRPr="006757FD">
              <w:br w:type="page"/>
            </w:r>
            <w:r w:rsidR="00861BE5" w:rsidRPr="006757FD">
              <w:t>SEAS</w:t>
            </w:r>
          </w:p>
        </w:tc>
        <w:tc>
          <w:tcPr>
            <w:tcW w:w="3140" w:type="dxa"/>
          </w:tcPr>
          <w:p w:rsidR="00861BE5" w:rsidRPr="006757FD" w:rsidRDefault="00861BE5" w:rsidP="00287F49">
            <w:pPr>
              <w:rPr>
                <w:rFonts w:cs="Arial"/>
                <w:shd w:val="clear" w:color="auto" w:fill="FFFFFF"/>
              </w:rPr>
            </w:pPr>
            <w:r w:rsidRPr="006757FD">
              <w:rPr>
                <w:rFonts w:cs="Arial"/>
                <w:shd w:val="clear" w:color="auto" w:fill="FFFFFF"/>
              </w:rPr>
              <w:t xml:space="preserve">Special Entry Access Scheme </w:t>
            </w:r>
          </w:p>
        </w:tc>
        <w:tc>
          <w:tcPr>
            <w:tcW w:w="6657" w:type="dxa"/>
          </w:tcPr>
          <w:p w:rsidR="00861BE5" w:rsidRPr="006757FD" w:rsidRDefault="00AD2958" w:rsidP="00287F49">
            <w:r w:rsidRPr="006757FD">
              <w:t>SEAS adjusts your ATAR in recognition of circumstances that may have affected your education. This gives you a better chance of getting an offer for the course you want. There are four categories within SEAS that cover personal information and location, disadvantaged financial background, disability or medical condition and difficult circumstances.</w:t>
            </w:r>
          </w:p>
        </w:tc>
        <w:tc>
          <w:tcPr>
            <w:tcW w:w="3691" w:type="dxa"/>
          </w:tcPr>
          <w:p w:rsidR="00861BE5" w:rsidRPr="006757FD" w:rsidRDefault="00A638DD" w:rsidP="00287F49">
            <w:hyperlink r:id="rId73" w:history="1">
              <w:r w:rsidR="00AA37E3" w:rsidRPr="006757FD">
                <w:rPr>
                  <w:rStyle w:val="Hyperlink"/>
                  <w:color w:val="auto"/>
                </w:rPr>
                <w:t>http://www.vtac.edu.au/who/seas.html</w:t>
              </w:r>
            </w:hyperlink>
          </w:p>
          <w:p w:rsidR="00AA37E3" w:rsidRPr="006757FD" w:rsidRDefault="00AA37E3" w:rsidP="00287F49"/>
        </w:tc>
      </w:tr>
      <w:tr w:rsidR="006757FD" w:rsidRPr="006757FD" w:rsidTr="00820A54">
        <w:tc>
          <w:tcPr>
            <w:tcW w:w="1113" w:type="dxa"/>
          </w:tcPr>
          <w:p w:rsidR="00B0167D" w:rsidRPr="006757FD" w:rsidRDefault="00B0167D" w:rsidP="00287F49">
            <w:r w:rsidRPr="006757FD">
              <w:t>SHEDN</w:t>
            </w:r>
          </w:p>
        </w:tc>
        <w:tc>
          <w:tcPr>
            <w:tcW w:w="3140" w:type="dxa"/>
          </w:tcPr>
          <w:p w:rsidR="00B0167D" w:rsidRPr="006757FD" w:rsidRDefault="00B0167D" w:rsidP="00287F49">
            <w:r w:rsidRPr="006757FD">
              <w:t>Southern Higher Education Disability Network</w:t>
            </w:r>
          </w:p>
        </w:tc>
        <w:tc>
          <w:tcPr>
            <w:tcW w:w="6657" w:type="dxa"/>
          </w:tcPr>
          <w:p w:rsidR="00B0167D" w:rsidRPr="006757FD" w:rsidRDefault="00406EFB" w:rsidP="00287F49">
            <w:r w:rsidRPr="006757FD">
              <w:rPr>
                <w:rFonts w:cs="Arial"/>
                <w:shd w:val="clear" w:color="auto" w:fill="FFFFFF"/>
              </w:rPr>
              <w:t>Victoria and Tasmania have combined to form the SHEDN. The network has over 60 members, and offers the opportunity for practitioners to share ideas and practice, and often includes a guest speaker. </w:t>
            </w:r>
          </w:p>
        </w:tc>
        <w:tc>
          <w:tcPr>
            <w:tcW w:w="3691" w:type="dxa"/>
          </w:tcPr>
          <w:p w:rsidR="00B0167D" w:rsidRPr="006757FD" w:rsidRDefault="00A638DD" w:rsidP="00287F49">
            <w:hyperlink r:id="rId74" w:history="1">
              <w:r w:rsidR="00AA37E3" w:rsidRPr="006757FD">
                <w:rPr>
                  <w:rStyle w:val="Hyperlink"/>
                  <w:color w:val="auto"/>
                </w:rPr>
                <w:t>https://www.atend.com.au/State-Committees/victoria/</w:t>
              </w:r>
            </w:hyperlink>
          </w:p>
          <w:p w:rsidR="00AA37E3" w:rsidRPr="006757FD" w:rsidRDefault="00AA37E3" w:rsidP="00287F49"/>
        </w:tc>
      </w:tr>
      <w:tr w:rsidR="006757FD" w:rsidRPr="006757FD" w:rsidTr="00820A54">
        <w:tc>
          <w:tcPr>
            <w:tcW w:w="1113" w:type="dxa"/>
          </w:tcPr>
          <w:p w:rsidR="00B0167D" w:rsidRPr="006757FD" w:rsidRDefault="00B0167D" w:rsidP="00287F49">
            <w:r w:rsidRPr="006757FD">
              <w:t>SLES</w:t>
            </w:r>
          </w:p>
        </w:tc>
        <w:tc>
          <w:tcPr>
            <w:tcW w:w="3140" w:type="dxa"/>
          </w:tcPr>
          <w:p w:rsidR="00B0167D" w:rsidRPr="006757FD" w:rsidRDefault="00B0167D" w:rsidP="00287F49">
            <w:r w:rsidRPr="006757FD">
              <w:t>School Leaver Employment Supports</w:t>
            </w:r>
            <w:r w:rsidR="00D9781F" w:rsidRPr="006757FD">
              <w:t xml:space="preserve"> (NDIS)</w:t>
            </w:r>
          </w:p>
        </w:tc>
        <w:tc>
          <w:tcPr>
            <w:tcW w:w="6657" w:type="dxa"/>
          </w:tcPr>
          <w:p w:rsidR="00B0167D" w:rsidRPr="006757FD" w:rsidRDefault="007F6D00" w:rsidP="00287F49">
            <w:r w:rsidRPr="006757FD">
              <w:t>SLES is an early intervention approach to employment for Year 12 school leavers with disability. The aim is to provide eligible NDIS participants with a supported pathway from school into employment.</w:t>
            </w:r>
            <w:r w:rsidR="00BA702A" w:rsidRPr="006757FD">
              <w:t xml:space="preserve"> SLES offers individualised support for up to 2 years after finishing year 12 to help you get ready for work and plan your pathway to employment.</w:t>
            </w:r>
          </w:p>
        </w:tc>
        <w:tc>
          <w:tcPr>
            <w:tcW w:w="3691" w:type="dxa"/>
          </w:tcPr>
          <w:p w:rsidR="00B0167D" w:rsidRPr="006757FD" w:rsidRDefault="00A638DD" w:rsidP="00287F49">
            <w:hyperlink r:id="rId75" w:history="1">
              <w:r w:rsidR="00AA37E3" w:rsidRPr="006757FD">
                <w:rPr>
                  <w:rStyle w:val="Hyperlink"/>
                  <w:color w:val="auto"/>
                </w:rPr>
                <w:t>https://www.ndis.gov.au/people-disability/sles</w:t>
              </w:r>
            </w:hyperlink>
          </w:p>
          <w:p w:rsidR="00AA37E3" w:rsidRPr="006757FD" w:rsidRDefault="00AA37E3" w:rsidP="00287F49"/>
        </w:tc>
      </w:tr>
      <w:tr w:rsidR="006757FD" w:rsidRPr="006757FD" w:rsidTr="00565E7C">
        <w:tc>
          <w:tcPr>
            <w:tcW w:w="1113" w:type="dxa"/>
          </w:tcPr>
          <w:p w:rsidR="00B0167D" w:rsidRPr="006757FD" w:rsidRDefault="00B0167D" w:rsidP="00287F49">
            <w:r w:rsidRPr="006757FD">
              <w:t>SWS</w:t>
            </w:r>
          </w:p>
        </w:tc>
        <w:tc>
          <w:tcPr>
            <w:tcW w:w="3140" w:type="dxa"/>
          </w:tcPr>
          <w:p w:rsidR="00B0167D" w:rsidRPr="006757FD" w:rsidRDefault="00B0167D" w:rsidP="00287F49">
            <w:r w:rsidRPr="006757FD">
              <w:t>Supported Wage System</w:t>
            </w:r>
          </w:p>
        </w:tc>
        <w:tc>
          <w:tcPr>
            <w:tcW w:w="6657" w:type="dxa"/>
          </w:tcPr>
          <w:p w:rsidR="00B0167D" w:rsidRPr="006757FD" w:rsidRDefault="002136F2" w:rsidP="00287F49">
            <w:r w:rsidRPr="006757FD">
              <w:t>SWS is a process that allows employers to pay a productivity-based wage for people with disability that matches an independently assessed productivity rate.</w:t>
            </w:r>
          </w:p>
        </w:tc>
        <w:tc>
          <w:tcPr>
            <w:tcW w:w="3691" w:type="dxa"/>
          </w:tcPr>
          <w:p w:rsidR="00B0167D" w:rsidRPr="006757FD" w:rsidRDefault="00A638DD" w:rsidP="00287F49">
            <w:hyperlink r:id="rId76" w:history="1">
              <w:r w:rsidR="00AA37E3" w:rsidRPr="006757FD">
                <w:rPr>
                  <w:rStyle w:val="Hyperlink"/>
                  <w:color w:val="auto"/>
                </w:rPr>
                <w:t>https://www.employment.gov.au/supported-wage-system</w:t>
              </w:r>
            </w:hyperlink>
          </w:p>
          <w:p w:rsidR="00AA37E3" w:rsidRPr="006757FD" w:rsidRDefault="00AA37E3" w:rsidP="00287F49"/>
        </w:tc>
      </w:tr>
      <w:tr w:rsidR="006757FD" w:rsidRPr="006757FD" w:rsidTr="00565E7C">
        <w:tc>
          <w:tcPr>
            <w:tcW w:w="1113" w:type="dxa"/>
          </w:tcPr>
          <w:p w:rsidR="00B0167D" w:rsidRPr="006757FD" w:rsidRDefault="00B0167D" w:rsidP="00287F49">
            <w:r w:rsidRPr="006757FD">
              <w:t>TAFE</w:t>
            </w:r>
          </w:p>
        </w:tc>
        <w:tc>
          <w:tcPr>
            <w:tcW w:w="3140" w:type="dxa"/>
          </w:tcPr>
          <w:p w:rsidR="00B0167D" w:rsidRPr="006757FD" w:rsidRDefault="00B0167D" w:rsidP="00287F49">
            <w:r w:rsidRPr="006757FD">
              <w:t>Technical and Further Education</w:t>
            </w:r>
          </w:p>
        </w:tc>
        <w:tc>
          <w:tcPr>
            <w:tcW w:w="6657" w:type="dxa"/>
          </w:tcPr>
          <w:p w:rsidR="00B0167D" w:rsidRPr="006757FD" w:rsidRDefault="00367DBF" w:rsidP="001D3EF7">
            <w:r w:rsidRPr="006757FD">
              <w:rPr>
                <w:rFonts w:cs="Arial"/>
                <w:shd w:val="clear" w:color="auto" w:fill="FFFFFF"/>
              </w:rPr>
              <w:t xml:space="preserve">Institutions that </w:t>
            </w:r>
            <w:r w:rsidR="001D3EF7" w:rsidRPr="006757FD">
              <w:rPr>
                <w:rFonts w:cs="Arial"/>
                <w:shd w:val="clear" w:color="auto" w:fill="FFFFFF"/>
              </w:rPr>
              <w:t>provide a wide range of p</w:t>
            </w:r>
            <w:r w:rsidRPr="006757FD">
              <w:rPr>
                <w:rFonts w:cs="Arial"/>
                <w:shd w:val="clear" w:color="auto" w:fill="FFFFFF"/>
              </w:rPr>
              <w:t>redominantly </w:t>
            </w:r>
            <w:hyperlink r:id="rId77" w:tooltip="Vocational education" w:history="1">
              <w:r w:rsidRPr="006757FD">
                <w:rPr>
                  <w:rStyle w:val="Hyperlink"/>
                  <w:rFonts w:cs="Arial"/>
                  <w:color w:val="auto"/>
                  <w:u w:val="none"/>
                  <w:shd w:val="clear" w:color="auto" w:fill="FFFFFF"/>
                </w:rPr>
                <w:t>vocational</w:t>
              </w:r>
            </w:hyperlink>
            <w:r w:rsidRPr="006757FD">
              <w:rPr>
                <w:rFonts w:cs="Arial"/>
                <w:shd w:val="clear" w:color="auto" w:fill="FFFFFF"/>
              </w:rPr>
              <w:t> </w:t>
            </w:r>
            <w:hyperlink r:id="rId78" w:tooltip="Post-secondary education" w:history="1">
              <w:r w:rsidRPr="006757FD">
                <w:rPr>
                  <w:rStyle w:val="Hyperlink"/>
                  <w:rFonts w:cs="Arial"/>
                  <w:color w:val="auto"/>
                  <w:u w:val="none"/>
                  <w:shd w:val="clear" w:color="auto" w:fill="FFFFFF"/>
                </w:rPr>
                <w:t>tertiary education</w:t>
              </w:r>
            </w:hyperlink>
            <w:r w:rsidRPr="006757FD">
              <w:rPr>
                <w:rFonts w:cs="Arial"/>
                <w:shd w:val="clear" w:color="auto" w:fill="FFFFFF"/>
              </w:rPr>
              <w:t> courses, mostly qualifying courses under the </w:t>
            </w:r>
            <w:hyperlink r:id="rId79" w:tooltip="National Training System (Australia)" w:history="1">
              <w:r w:rsidRPr="006757FD">
                <w:rPr>
                  <w:rStyle w:val="Hyperlink"/>
                  <w:rFonts w:cs="Arial"/>
                  <w:color w:val="auto"/>
                  <w:u w:val="none"/>
                  <w:shd w:val="clear" w:color="auto" w:fill="FFFFFF"/>
                </w:rPr>
                <w:t>National Training System</w:t>
              </w:r>
            </w:hyperlink>
            <w:r w:rsidRPr="006757FD">
              <w:rPr>
                <w:rFonts w:cs="Arial"/>
                <w:shd w:val="clear" w:color="auto" w:fill="FFFFFF"/>
              </w:rPr>
              <w:t>/</w:t>
            </w:r>
            <w:hyperlink r:id="rId80" w:tooltip="Australian Qualifications Framework" w:history="1">
              <w:r w:rsidRPr="006757FD">
                <w:rPr>
                  <w:rStyle w:val="Hyperlink"/>
                  <w:rFonts w:cs="Arial"/>
                  <w:color w:val="auto"/>
                  <w:u w:val="none"/>
                  <w:shd w:val="clear" w:color="auto" w:fill="FFFFFF"/>
                </w:rPr>
                <w:t>Australian Qualifications Framework</w:t>
              </w:r>
            </w:hyperlink>
            <w:r w:rsidRPr="006757FD">
              <w:rPr>
                <w:rFonts w:cs="Arial"/>
                <w:shd w:val="clear" w:color="auto" w:fill="FFFFFF"/>
              </w:rPr>
              <w:t>/Australian Quality Training Framework. Fields covered include business, finance, hospitality, tourism, construction, engineering, visual arts, information technology and community work.</w:t>
            </w:r>
          </w:p>
        </w:tc>
        <w:tc>
          <w:tcPr>
            <w:tcW w:w="3691" w:type="dxa"/>
          </w:tcPr>
          <w:p w:rsidR="00B0167D" w:rsidRPr="006757FD" w:rsidRDefault="00A638DD" w:rsidP="00287F49">
            <w:hyperlink r:id="rId81" w:history="1">
              <w:r w:rsidR="00AA37E3" w:rsidRPr="006757FD">
                <w:rPr>
                  <w:rStyle w:val="Hyperlink"/>
                  <w:color w:val="auto"/>
                </w:rPr>
                <w:t>https://www.tafecourses.com.au/</w:t>
              </w:r>
            </w:hyperlink>
          </w:p>
          <w:p w:rsidR="00AA37E3" w:rsidRPr="006757FD" w:rsidRDefault="00AA37E3" w:rsidP="00287F49"/>
        </w:tc>
      </w:tr>
    </w:tbl>
    <w:p w:rsidR="00820A54" w:rsidRPr="006757FD" w:rsidRDefault="00820A54">
      <w:r w:rsidRPr="006757FD">
        <w:br w:type="page"/>
      </w:r>
    </w:p>
    <w:p w:rsidR="00820A54" w:rsidRPr="006757FD" w:rsidRDefault="00820A54"/>
    <w:tbl>
      <w:tblPr>
        <w:tblStyle w:val="TableGrid"/>
        <w:tblW w:w="14601" w:type="dxa"/>
        <w:tblInd w:w="-289" w:type="dxa"/>
        <w:tblLayout w:type="fixed"/>
        <w:tblLook w:val="04A0" w:firstRow="1" w:lastRow="0" w:firstColumn="1" w:lastColumn="0" w:noHBand="0" w:noVBand="1"/>
      </w:tblPr>
      <w:tblGrid>
        <w:gridCol w:w="1113"/>
        <w:gridCol w:w="3140"/>
        <w:gridCol w:w="6657"/>
        <w:gridCol w:w="3691"/>
      </w:tblGrid>
      <w:tr w:rsidR="006757FD" w:rsidRPr="006757FD" w:rsidTr="00234C83">
        <w:tc>
          <w:tcPr>
            <w:tcW w:w="1113" w:type="dxa"/>
            <w:shd w:val="clear" w:color="auto" w:fill="D0CECE" w:themeFill="background2" w:themeFillShade="E6"/>
          </w:tcPr>
          <w:p w:rsidR="00820A54" w:rsidRPr="006757FD" w:rsidRDefault="00820A54" w:rsidP="00234C83">
            <w:pPr>
              <w:rPr>
                <w:b/>
              </w:rPr>
            </w:pPr>
            <w:r w:rsidRPr="006757FD">
              <w:rPr>
                <w:b/>
              </w:rPr>
              <w:t>Acronym</w:t>
            </w:r>
          </w:p>
        </w:tc>
        <w:tc>
          <w:tcPr>
            <w:tcW w:w="3140" w:type="dxa"/>
            <w:shd w:val="clear" w:color="auto" w:fill="D0CECE" w:themeFill="background2" w:themeFillShade="E6"/>
          </w:tcPr>
          <w:p w:rsidR="00820A54" w:rsidRPr="006757FD" w:rsidRDefault="00820A54" w:rsidP="00234C83">
            <w:pPr>
              <w:rPr>
                <w:b/>
              </w:rPr>
            </w:pPr>
            <w:r w:rsidRPr="006757FD">
              <w:rPr>
                <w:b/>
              </w:rPr>
              <w:t>Title</w:t>
            </w:r>
          </w:p>
        </w:tc>
        <w:tc>
          <w:tcPr>
            <w:tcW w:w="6657" w:type="dxa"/>
            <w:shd w:val="clear" w:color="auto" w:fill="D0CECE" w:themeFill="background2" w:themeFillShade="E6"/>
          </w:tcPr>
          <w:p w:rsidR="00820A54" w:rsidRPr="006757FD" w:rsidRDefault="00820A54" w:rsidP="00234C83">
            <w:pPr>
              <w:rPr>
                <w:b/>
              </w:rPr>
            </w:pPr>
            <w:r w:rsidRPr="006757FD">
              <w:rPr>
                <w:b/>
              </w:rPr>
              <w:t>Description</w:t>
            </w:r>
          </w:p>
        </w:tc>
        <w:tc>
          <w:tcPr>
            <w:tcW w:w="3691" w:type="dxa"/>
            <w:shd w:val="clear" w:color="auto" w:fill="D0CECE" w:themeFill="background2" w:themeFillShade="E6"/>
          </w:tcPr>
          <w:p w:rsidR="00820A54" w:rsidRPr="006757FD" w:rsidRDefault="00820A54" w:rsidP="00234C83">
            <w:pPr>
              <w:rPr>
                <w:b/>
              </w:rPr>
            </w:pPr>
            <w:r w:rsidRPr="006757FD">
              <w:rPr>
                <w:b/>
              </w:rPr>
              <w:t>Website</w:t>
            </w:r>
          </w:p>
        </w:tc>
      </w:tr>
      <w:tr w:rsidR="006757FD" w:rsidRPr="006757FD" w:rsidTr="00401B8B">
        <w:tc>
          <w:tcPr>
            <w:tcW w:w="1113" w:type="dxa"/>
          </w:tcPr>
          <w:p w:rsidR="00A30074" w:rsidRPr="006757FD" w:rsidRDefault="00A30074" w:rsidP="00401B8B">
            <w:r w:rsidRPr="006757FD">
              <w:t>TDN</w:t>
            </w:r>
          </w:p>
        </w:tc>
        <w:tc>
          <w:tcPr>
            <w:tcW w:w="3140" w:type="dxa"/>
          </w:tcPr>
          <w:p w:rsidR="00A30074" w:rsidRPr="006757FD" w:rsidRDefault="00A30074" w:rsidP="00401B8B">
            <w:r w:rsidRPr="006757FD">
              <w:t>TAFE Disability Network</w:t>
            </w:r>
          </w:p>
        </w:tc>
        <w:tc>
          <w:tcPr>
            <w:tcW w:w="6657" w:type="dxa"/>
          </w:tcPr>
          <w:p w:rsidR="00A30074" w:rsidRPr="006757FD" w:rsidRDefault="00A30074" w:rsidP="00401B8B">
            <w:r w:rsidRPr="006757FD">
              <w:t>The TDN is the network of Disability Liaison Officers (DLOs) from across the TAFE sector in Victoria.</w:t>
            </w:r>
          </w:p>
        </w:tc>
        <w:tc>
          <w:tcPr>
            <w:tcW w:w="3691" w:type="dxa"/>
          </w:tcPr>
          <w:p w:rsidR="00A30074" w:rsidRPr="006757FD" w:rsidRDefault="00A638DD" w:rsidP="00401B8B">
            <w:hyperlink r:id="rId82" w:history="1">
              <w:r w:rsidR="00A30074" w:rsidRPr="006757FD">
                <w:rPr>
                  <w:rStyle w:val="Hyperlink"/>
                  <w:color w:val="auto"/>
                </w:rPr>
                <w:t>http://www.vta.vic.edu.au/networks/tafe-disability-network</w:t>
              </w:r>
            </w:hyperlink>
          </w:p>
        </w:tc>
      </w:tr>
      <w:tr w:rsidR="006757FD" w:rsidRPr="006757FD" w:rsidTr="00565E7C">
        <w:tc>
          <w:tcPr>
            <w:tcW w:w="1113" w:type="dxa"/>
          </w:tcPr>
          <w:p w:rsidR="00B0167D" w:rsidRPr="006757FD" w:rsidRDefault="00B0167D" w:rsidP="00287F49">
            <w:r w:rsidRPr="006757FD">
              <w:t>TTW</w:t>
            </w:r>
          </w:p>
        </w:tc>
        <w:tc>
          <w:tcPr>
            <w:tcW w:w="3140" w:type="dxa"/>
          </w:tcPr>
          <w:p w:rsidR="00B0167D" w:rsidRPr="006757FD" w:rsidRDefault="00B0167D" w:rsidP="00287F49">
            <w:r w:rsidRPr="006757FD">
              <w:t>Transition to Work</w:t>
            </w:r>
          </w:p>
        </w:tc>
        <w:tc>
          <w:tcPr>
            <w:tcW w:w="6657" w:type="dxa"/>
          </w:tcPr>
          <w:p w:rsidR="00B0167D" w:rsidRPr="006757FD" w:rsidRDefault="00363EBA" w:rsidP="00287F49">
            <w:r w:rsidRPr="006757FD">
              <w:t>TTW supports young people aged 15-21 on their journey to employment. The service will provide intensive, pre-employment support to improve the work-readiness of young people and help them into work (including apprenticeships and traineeships) or education.</w:t>
            </w:r>
          </w:p>
        </w:tc>
        <w:tc>
          <w:tcPr>
            <w:tcW w:w="3691" w:type="dxa"/>
          </w:tcPr>
          <w:p w:rsidR="00B0167D" w:rsidRPr="006757FD" w:rsidRDefault="00A638DD" w:rsidP="00287F49">
            <w:hyperlink r:id="rId83" w:history="1">
              <w:r w:rsidR="00363EBA" w:rsidRPr="006757FD">
                <w:rPr>
                  <w:rStyle w:val="Hyperlink"/>
                  <w:color w:val="auto"/>
                </w:rPr>
                <w:t>https://www.employment.gov.au/transition-work</w:t>
              </w:r>
            </w:hyperlink>
          </w:p>
          <w:p w:rsidR="00363EBA" w:rsidRPr="006757FD" w:rsidRDefault="00363EBA" w:rsidP="00287F49"/>
        </w:tc>
      </w:tr>
      <w:tr w:rsidR="006757FD" w:rsidRPr="006757FD" w:rsidTr="00565E7C">
        <w:tc>
          <w:tcPr>
            <w:tcW w:w="1113" w:type="dxa"/>
          </w:tcPr>
          <w:p w:rsidR="009E1BBA" w:rsidRPr="006757FD" w:rsidRDefault="009E1BBA" w:rsidP="00287F49">
            <w:r w:rsidRPr="006757FD">
              <w:t>VALID</w:t>
            </w:r>
          </w:p>
        </w:tc>
        <w:tc>
          <w:tcPr>
            <w:tcW w:w="3140" w:type="dxa"/>
          </w:tcPr>
          <w:p w:rsidR="009E1BBA" w:rsidRPr="006757FD" w:rsidRDefault="009E1BBA" w:rsidP="00287F49">
            <w:pPr>
              <w:rPr>
                <w:rFonts w:cs="Arial"/>
                <w:shd w:val="clear" w:color="auto" w:fill="FFFFFF"/>
              </w:rPr>
            </w:pPr>
            <w:r w:rsidRPr="006757FD">
              <w:rPr>
                <w:rFonts w:cs="Arial"/>
                <w:shd w:val="clear" w:color="auto" w:fill="FFFFFF"/>
              </w:rPr>
              <w:t>Victorian Advocacy League for Individuals with Disability</w:t>
            </w:r>
          </w:p>
        </w:tc>
        <w:tc>
          <w:tcPr>
            <w:tcW w:w="6657" w:type="dxa"/>
          </w:tcPr>
          <w:p w:rsidR="009E1BBA" w:rsidRPr="006757FD" w:rsidRDefault="009E1BBA" w:rsidP="00287F49">
            <w:r w:rsidRPr="006757FD">
              <w:rPr>
                <w:rFonts w:cs="Helvetica"/>
                <w:shd w:val="clear" w:color="auto" w:fill="FFFFFF"/>
              </w:rPr>
              <w:t>VALID is an award-winning organization that has been at the forefront of advocating for people with a disability in Victoria since 1989. </w:t>
            </w:r>
          </w:p>
        </w:tc>
        <w:tc>
          <w:tcPr>
            <w:tcW w:w="3691" w:type="dxa"/>
          </w:tcPr>
          <w:p w:rsidR="009E1BBA" w:rsidRPr="006757FD" w:rsidRDefault="00A638DD" w:rsidP="00287F49">
            <w:hyperlink r:id="rId84" w:history="1">
              <w:r w:rsidR="00AA37E3" w:rsidRPr="006757FD">
                <w:rPr>
                  <w:rStyle w:val="Hyperlink"/>
                  <w:color w:val="auto"/>
                </w:rPr>
                <w:t>http://www.valid.org.au/</w:t>
              </w:r>
            </w:hyperlink>
          </w:p>
          <w:p w:rsidR="00AA37E3" w:rsidRPr="006757FD" w:rsidRDefault="00AA37E3" w:rsidP="00287F49"/>
        </w:tc>
      </w:tr>
      <w:tr w:rsidR="006757FD" w:rsidRPr="006757FD" w:rsidTr="00401B8B">
        <w:tc>
          <w:tcPr>
            <w:tcW w:w="1113" w:type="dxa"/>
          </w:tcPr>
          <w:p w:rsidR="00A30074" w:rsidRPr="006757FD" w:rsidRDefault="00A30074" w:rsidP="00401B8B">
            <w:r w:rsidRPr="006757FD">
              <w:t>VCAA</w:t>
            </w:r>
          </w:p>
        </w:tc>
        <w:tc>
          <w:tcPr>
            <w:tcW w:w="3140" w:type="dxa"/>
          </w:tcPr>
          <w:p w:rsidR="00A30074" w:rsidRPr="006757FD" w:rsidRDefault="00A30074" w:rsidP="00401B8B">
            <w:pPr>
              <w:rPr>
                <w:rFonts w:cs="Arial"/>
                <w:shd w:val="clear" w:color="auto" w:fill="FFFFFF"/>
              </w:rPr>
            </w:pPr>
            <w:r w:rsidRPr="006757FD">
              <w:t xml:space="preserve">Victorian Curriculum and Assessment Authority </w:t>
            </w:r>
          </w:p>
        </w:tc>
        <w:tc>
          <w:tcPr>
            <w:tcW w:w="6657" w:type="dxa"/>
          </w:tcPr>
          <w:p w:rsidR="00A30074" w:rsidRPr="006757FD" w:rsidRDefault="00A30074" w:rsidP="00401B8B">
            <w:r w:rsidRPr="006757FD">
              <w:rPr>
                <w:rFonts w:cs="Arial"/>
                <w:shd w:val="clear" w:color="auto" w:fill="FFFFFF"/>
              </w:rPr>
              <w:t>The VCAA is a statutory authority of the Government of Victoria responsible for the provision of curriculum and assessment programs for students in Victoria, Australia.</w:t>
            </w:r>
          </w:p>
        </w:tc>
        <w:tc>
          <w:tcPr>
            <w:tcW w:w="3691" w:type="dxa"/>
          </w:tcPr>
          <w:p w:rsidR="00A30074" w:rsidRPr="006757FD" w:rsidRDefault="00A638DD" w:rsidP="00401B8B">
            <w:hyperlink r:id="rId85" w:history="1">
              <w:r w:rsidR="00A30074" w:rsidRPr="006757FD">
                <w:rPr>
                  <w:rStyle w:val="Hyperlink"/>
                  <w:color w:val="auto"/>
                </w:rPr>
                <w:t>http://www.vcaa.vic.edu.au/</w:t>
              </w:r>
            </w:hyperlink>
          </w:p>
          <w:p w:rsidR="00A30074" w:rsidRPr="006757FD" w:rsidRDefault="00A30074" w:rsidP="00401B8B"/>
        </w:tc>
      </w:tr>
      <w:tr w:rsidR="006757FD" w:rsidRPr="006757FD" w:rsidTr="00565E7C">
        <w:tc>
          <w:tcPr>
            <w:tcW w:w="1113" w:type="dxa"/>
          </w:tcPr>
          <w:p w:rsidR="00B0167D" w:rsidRPr="006757FD" w:rsidRDefault="00B0167D" w:rsidP="00287F49">
            <w:r w:rsidRPr="006757FD">
              <w:t>VCAL</w:t>
            </w:r>
          </w:p>
        </w:tc>
        <w:tc>
          <w:tcPr>
            <w:tcW w:w="3140" w:type="dxa"/>
          </w:tcPr>
          <w:p w:rsidR="00B0167D" w:rsidRPr="006757FD" w:rsidRDefault="00B0167D" w:rsidP="00287F49">
            <w:r w:rsidRPr="006757FD">
              <w:rPr>
                <w:rFonts w:cs="Arial"/>
                <w:shd w:val="clear" w:color="auto" w:fill="FFFFFF"/>
              </w:rPr>
              <w:t>Victorian Certificate of Applied Learning</w:t>
            </w:r>
          </w:p>
        </w:tc>
        <w:tc>
          <w:tcPr>
            <w:tcW w:w="6657" w:type="dxa"/>
          </w:tcPr>
          <w:p w:rsidR="00B0167D" w:rsidRPr="006757FD" w:rsidRDefault="00E970DD" w:rsidP="00287F49">
            <w:r w:rsidRPr="006757FD">
              <w:t>VCAL is a hands-on option for students in Years 11 and 12. The VCAL gives you practical work-related experience, as well as literacy and numeracy skills and the opportunity to build personal skills that are important for life and work.</w:t>
            </w:r>
          </w:p>
        </w:tc>
        <w:tc>
          <w:tcPr>
            <w:tcW w:w="3691" w:type="dxa"/>
          </w:tcPr>
          <w:p w:rsidR="00B0167D" w:rsidRPr="006757FD" w:rsidRDefault="00A638DD" w:rsidP="00287F49">
            <w:hyperlink r:id="rId86" w:history="1">
              <w:r w:rsidR="00AA37E3" w:rsidRPr="006757FD">
                <w:rPr>
                  <w:rStyle w:val="Hyperlink"/>
                  <w:color w:val="auto"/>
                </w:rPr>
                <w:t>http://www.vcaa.vic.edu.au/Pages/vcal/students/studentfaq.aspx</w:t>
              </w:r>
            </w:hyperlink>
          </w:p>
          <w:p w:rsidR="00AA37E3" w:rsidRPr="006757FD" w:rsidRDefault="00AA37E3" w:rsidP="00287F49"/>
        </w:tc>
      </w:tr>
      <w:tr w:rsidR="006757FD" w:rsidRPr="006757FD" w:rsidTr="00565E7C">
        <w:tc>
          <w:tcPr>
            <w:tcW w:w="1113" w:type="dxa"/>
          </w:tcPr>
          <w:p w:rsidR="00B0167D" w:rsidRPr="006757FD" w:rsidRDefault="00B0167D" w:rsidP="00287F49">
            <w:r w:rsidRPr="006757FD">
              <w:t xml:space="preserve">VCAL </w:t>
            </w:r>
          </w:p>
        </w:tc>
        <w:tc>
          <w:tcPr>
            <w:tcW w:w="3140" w:type="dxa"/>
          </w:tcPr>
          <w:p w:rsidR="00B0167D" w:rsidRPr="006757FD" w:rsidRDefault="00B0167D" w:rsidP="00287F49">
            <w:pPr>
              <w:rPr>
                <w:rFonts w:cs="Arial"/>
                <w:shd w:val="clear" w:color="auto" w:fill="FFFFFF"/>
              </w:rPr>
            </w:pPr>
            <w:r w:rsidRPr="006757FD">
              <w:rPr>
                <w:rFonts w:cs="Arial"/>
                <w:shd w:val="clear" w:color="auto" w:fill="FFFFFF"/>
              </w:rPr>
              <w:t>Foundation, Intermediate, Senior</w:t>
            </w:r>
          </w:p>
        </w:tc>
        <w:tc>
          <w:tcPr>
            <w:tcW w:w="6657" w:type="dxa"/>
          </w:tcPr>
          <w:p w:rsidR="00B0167D" w:rsidRPr="006757FD" w:rsidRDefault="00D452A0" w:rsidP="00287F49">
            <w:r w:rsidRPr="006757FD">
              <w:rPr>
                <w:rFonts w:cs="Arial"/>
                <w:shd w:val="clear" w:color="auto" w:fill="FFFFFF"/>
              </w:rPr>
              <w:t>The VCAL has three levels - Foundation, Intermediate and Senior. You would complete your VCAL at the level that matches your needs and abilities.</w:t>
            </w:r>
          </w:p>
        </w:tc>
        <w:tc>
          <w:tcPr>
            <w:tcW w:w="3691" w:type="dxa"/>
          </w:tcPr>
          <w:p w:rsidR="00B0167D" w:rsidRPr="006757FD" w:rsidRDefault="00A638DD" w:rsidP="00287F49">
            <w:hyperlink r:id="rId87" w:history="1">
              <w:r w:rsidR="00AA37E3" w:rsidRPr="006757FD">
                <w:rPr>
                  <w:rStyle w:val="Hyperlink"/>
                  <w:color w:val="auto"/>
                </w:rPr>
                <w:t>http://www.vcaa.vic.edu.au/Pages/vcal/students/studentfaq.aspx</w:t>
              </w:r>
            </w:hyperlink>
          </w:p>
          <w:p w:rsidR="00AA37E3" w:rsidRPr="006757FD" w:rsidRDefault="00AA37E3" w:rsidP="00287F49"/>
        </w:tc>
      </w:tr>
      <w:tr w:rsidR="006757FD" w:rsidRPr="006757FD" w:rsidTr="00565E7C">
        <w:tc>
          <w:tcPr>
            <w:tcW w:w="1113" w:type="dxa"/>
          </w:tcPr>
          <w:p w:rsidR="00A56262" w:rsidRPr="006757FD" w:rsidRDefault="00A56262" w:rsidP="00287F49">
            <w:r w:rsidRPr="006757FD">
              <w:t>VCE</w:t>
            </w:r>
          </w:p>
        </w:tc>
        <w:tc>
          <w:tcPr>
            <w:tcW w:w="3140" w:type="dxa"/>
          </w:tcPr>
          <w:p w:rsidR="00A56262" w:rsidRPr="006757FD" w:rsidRDefault="00A56262" w:rsidP="00287F49">
            <w:pPr>
              <w:rPr>
                <w:rFonts w:cs="Arial"/>
                <w:shd w:val="clear" w:color="auto" w:fill="FFFFFF"/>
              </w:rPr>
            </w:pPr>
            <w:r w:rsidRPr="006757FD">
              <w:rPr>
                <w:rFonts w:cs="Arial"/>
                <w:shd w:val="clear" w:color="auto" w:fill="FFFFFF"/>
              </w:rPr>
              <w:t>Victorian Certificate of Education</w:t>
            </w:r>
          </w:p>
        </w:tc>
        <w:tc>
          <w:tcPr>
            <w:tcW w:w="6657" w:type="dxa"/>
          </w:tcPr>
          <w:p w:rsidR="00A56262" w:rsidRPr="006757FD" w:rsidRDefault="00A56262" w:rsidP="00287F49">
            <w:pPr>
              <w:rPr>
                <w:rFonts w:cs="Arial"/>
                <w:shd w:val="clear" w:color="auto" w:fill="FFFFFF"/>
              </w:rPr>
            </w:pPr>
            <w:r w:rsidRPr="006757FD">
              <w:rPr>
                <w:rFonts w:cs="Arial"/>
                <w:shd w:val="clear" w:color="auto" w:fill="FFFFFF"/>
              </w:rPr>
              <w:t>The VCE is awarded to students who successfully complete their secondary education. It is recognised internationally, and provides pathways to employment as well as to further study at university and TAFE (Technical and Further Education).</w:t>
            </w:r>
          </w:p>
        </w:tc>
        <w:tc>
          <w:tcPr>
            <w:tcW w:w="3691" w:type="dxa"/>
          </w:tcPr>
          <w:p w:rsidR="00A56262" w:rsidRPr="006757FD" w:rsidRDefault="00A56262" w:rsidP="00287F49">
            <w:r w:rsidRPr="006757FD">
              <w:t>http://www.education.vic.gov.au/school/parents/learning/Pages/vce.aspx</w:t>
            </w:r>
          </w:p>
        </w:tc>
      </w:tr>
      <w:tr w:rsidR="006757FD" w:rsidRPr="006757FD" w:rsidTr="00565E7C">
        <w:tc>
          <w:tcPr>
            <w:tcW w:w="1113" w:type="dxa"/>
          </w:tcPr>
          <w:p w:rsidR="00B0167D" w:rsidRPr="006757FD" w:rsidRDefault="00B0167D" w:rsidP="00287F49">
            <w:r w:rsidRPr="006757FD">
              <w:t>VET</w:t>
            </w:r>
          </w:p>
        </w:tc>
        <w:tc>
          <w:tcPr>
            <w:tcW w:w="3140" w:type="dxa"/>
          </w:tcPr>
          <w:p w:rsidR="00B0167D" w:rsidRPr="006757FD" w:rsidRDefault="00B0167D" w:rsidP="00287F49">
            <w:r w:rsidRPr="006757FD">
              <w:t>Vocational Education and Training</w:t>
            </w:r>
          </w:p>
        </w:tc>
        <w:tc>
          <w:tcPr>
            <w:tcW w:w="6657" w:type="dxa"/>
          </w:tcPr>
          <w:p w:rsidR="00B0167D" w:rsidRPr="006757FD" w:rsidRDefault="00181024" w:rsidP="00287F49">
            <w:r w:rsidRPr="006757FD">
              <w:rPr>
                <w:rFonts w:cs="Arial"/>
                <w:spacing w:val="2"/>
                <w:shd w:val="clear" w:color="auto" w:fill="FFFFFF"/>
              </w:rPr>
              <w:t>Designed to deliver workplace-specific skills and knowledge VET covers a wide range of careers and industries, including trade and office work, retail, hospitality and technology. </w:t>
            </w:r>
          </w:p>
        </w:tc>
        <w:tc>
          <w:tcPr>
            <w:tcW w:w="3691" w:type="dxa"/>
          </w:tcPr>
          <w:p w:rsidR="00AA37E3" w:rsidRPr="006757FD" w:rsidRDefault="00A638DD" w:rsidP="00287F49">
            <w:hyperlink r:id="rId88" w:history="1">
              <w:r w:rsidR="00AA37E3" w:rsidRPr="006757FD">
                <w:rPr>
                  <w:rStyle w:val="Hyperlink"/>
                  <w:color w:val="auto"/>
                </w:rPr>
                <w:t>http://www.australia.gov.au/information-and-services/education-and-training/vocational-education-and-training</w:t>
              </w:r>
            </w:hyperlink>
          </w:p>
        </w:tc>
      </w:tr>
    </w:tbl>
    <w:p w:rsidR="001D3EF7" w:rsidRPr="006757FD" w:rsidRDefault="001D3EF7">
      <w:r w:rsidRPr="006757FD">
        <w:br w:type="page"/>
      </w:r>
    </w:p>
    <w:p w:rsidR="001D3EF7" w:rsidRPr="006757FD" w:rsidRDefault="001D3EF7"/>
    <w:tbl>
      <w:tblPr>
        <w:tblStyle w:val="TableGrid"/>
        <w:tblW w:w="14601" w:type="dxa"/>
        <w:tblInd w:w="-289" w:type="dxa"/>
        <w:tblLayout w:type="fixed"/>
        <w:tblLook w:val="04A0" w:firstRow="1" w:lastRow="0" w:firstColumn="1" w:lastColumn="0" w:noHBand="0" w:noVBand="1"/>
      </w:tblPr>
      <w:tblGrid>
        <w:gridCol w:w="1113"/>
        <w:gridCol w:w="3140"/>
        <w:gridCol w:w="6657"/>
        <w:gridCol w:w="3691"/>
      </w:tblGrid>
      <w:tr w:rsidR="006757FD" w:rsidRPr="006757FD" w:rsidTr="00234C83">
        <w:tc>
          <w:tcPr>
            <w:tcW w:w="1113" w:type="dxa"/>
            <w:shd w:val="clear" w:color="auto" w:fill="D0CECE" w:themeFill="background2" w:themeFillShade="E6"/>
          </w:tcPr>
          <w:p w:rsidR="00820A54" w:rsidRPr="006757FD" w:rsidRDefault="00820A54" w:rsidP="00234C83">
            <w:pPr>
              <w:rPr>
                <w:b/>
              </w:rPr>
            </w:pPr>
            <w:r w:rsidRPr="006757FD">
              <w:rPr>
                <w:b/>
              </w:rPr>
              <w:t>Acronym</w:t>
            </w:r>
          </w:p>
        </w:tc>
        <w:tc>
          <w:tcPr>
            <w:tcW w:w="3140" w:type="dxa"/>
            <w:shd w:val="clear" w:color="auto" w:fill="D0CECE" w:themeFill="background2" w:themeFillShade="E6"/>
          </w:tcPr>
          <w:p w:rsidR="00820A54" w:rsidRPr="006757FD" w:rsidRDefault="00820A54" w:rsidP="00234C83">
            <w:pPr>
              <w:rPr>
                <w:b/>
              </w:rPr>
            </w:pPr>
            <w:r w:rsidRPr="006757FD">
              <w:rPr>
                <w:b/>
              </w:rPr>
              <w:t>Title</w:t>
            </w:r>
          </w:p>
        </w:tc>
        <w:tc>
          <w:tcPr>
            <w:tcW w:w="6657" w:type="dxa"/>
            <w:shd w:val="clear" w:color="auto" w:fill="D0CECE" w:themeFill="background2" w:themeFillShade="E6"/>
          </w:tcPr>
          <w:p w:rsidR="00820A54" w:rsidRPr="006757FD" w:rsidRDefault="00820A54" w:rsidP="00234C83">
            <w:pPr>
              <w:rPr>
                <w:b/>
              </w:rPr>
            </w:pPr>
            <w:r w:rsidRPr="006757FD">
              <w:rPr>
                <w:b/>
              </w:rPr>
              <w:t>Description</w:t>
            </w:r>
          </w:p>
        </w:tc>
        <w:tc>
          <w:tcPr>
            <w:tcW w:w="3691" w:type="dxa"/>
            <w:shd w:val="clear" w:color="auto" w:fill="D0CECE" w:themeFill="background2" w:themeFillShade="E6"/>
          </w:tcPr>
          <w:p w:rsidR="00820A54" w:rsidRPr="006757FD" w:rsidRDefault="00820A54" w:rsidP="00234C83">
            <w:pPr>
              <w:rPr>
                <w:b/>
              </w:rPr>
            </w:pPr>
            <w:r w:rsidRPr="006757FD">
              <w:rPr>
                <w:b/>
              </w:rPr>
              <w:t>Website</w:t>
            </w:r>
          </w:p>
        </w:tc>
      </w:tr>
      <w:tr w:rsidR="006757FD" w:rsidRPr="006757FD" w:rsidTr="00565E7C">
        <w:tc>
          <w:tcPr>
            <w:tcW w:w="1113" w:type="dxa"/>
          </w:tcPr>
          <w:p w:rsidR="00B0167D" w:rsidRPr="006757FD" w:rsidRDefault="00B0167D" w:rsidP="00287F49">
            <w:r w:rsidRPr="006757FD">
              <w:t>VIT</w:t>
            </w:r>
          </w:p>
        </w:tc>
        <w:tc>
          <w:tcPr>
            <w:tcW w:w="3140" w:type="dxa"/>
          </w:tcPr>
          <w:p w:rsidR="00B0167D" w:rsidRPr="006757FD" w:rsidRDefault="00B0167D" w:rsidP="00287F49">
            <w:r w:rsidRPr="006757FD">
              <w:t>Victorian Institute of Teaching</w:t>
            </w:r>
          </w:p>
        </w:tc>
        <w:tc>
          <w:tcPr>
            <w:tcW w:w="6657" w:type="dxa"/>
          </w:tcPr>
          <w:p w:rsidR="00B0167D" w:rsidRPr="006757FD" w:rsidRDefault="0006039F" w:rsidP="00150864">
            <w:r w:rsidRPr="006757FD">
              <w:t>VIT is an independent statutory authority for the teaching profession, whose primary function is to regulate members of the teaching profession.  It is a legal requirement for all teachers to be registered with VIT.</w:t>
            </w:r>
          </w:p>
        </w:tc>
        <w:tc>
          <w:tcPr>
            <w:tcW w:w="3691" w:type="dxa"/>
          </w:tcPr>
          <w:p w:rsidR="00B0167D" w:rsidRPr="006757FD" w:rsidRDefault="00A638DD" w:rsidP="00287F49">
            <w:hyperlink r:id="rId89" w:history="1">
              <w:r w:rsidR="00AA37E3" w:rsidRPr="006757FD">
                <w:rPr>
                  <w:rStyle w:val="Hyperlink"/>
                  <w:color w:val="auto"/>
                </w:rPr>
                <w:t>https://www.vit.vic.edu.au/</w:t>
              </w:r>
            </w:hyperlink>
          </w:p>
          <w:p w:rsidR="00AA37E3" w:rsidRPr="006757FD" w:rsidRDefault="00AA37E3" w:rsidP="00287F49"/>
        </w:tc>
      </w:tr>
      <w:tr w:rsidR="006757FD" w:rsidRPr="006757FD" w:rsidTr="00565E7C">
        <w:tc>
          <w:tcPr>
            <w:tcW w:w="1113" w:type="dxa"/>
          </w:tcPr>
          <w:p w:rsidR="00861BE5" w:rsidRPr="006757FD" w:rsidRDefault="00861BE5" w:rsidP="00287F49">
            <w:r w:rsidRPr="006757FD">
              <w:t>VTAC</w:t>
            </w:r>
          </w:p>
        </w:tc>
        <w:tc>
          <w:tcPr>
            <w:tcW w:w="3140" w:type="dxa"/>
          </w:tcPr>
          <w:p w:rsidR="00861BE5" w:rsidRPr="006757FD" w:rsidRDefault="00861BE5" w:rsidP="00287F49">
            <w:r w:rsidRPr="006757FD">
              <w:t>Victorian Tertiary Admissions C</w:t>
            </w:r>
            <w:r w:rsidR="00EA3F29" w:rsidRPr="006757FD">
              <w:t>entre</w:t>
            </w:r>
          </w:p>
        </w:tc>
        <w:tc>
          <w:tcPr>
            <w:tcW w:w="6657" w:type="dxa"/>
          </w:tcPr>
          <w:p w:rsidR="00861BE5" w:rsidRPr="006757FD" w:rsidRDefault="00EA3F29" w:rsidP="00150864">
            <w:r w:rsidRPr="006757FD">
              <w:rPr>
                <w:rStyle w:val="Emphasis"/>
                <w:rFonts w:cs="Arial"/>
                <w:bCs/>
                <w:i w:val="0"/>
                <w:iCs w:val="0"/>
                <w:shd w:val="clear" w:color="auto" w:fill="FFFFFF"/>
              </w:rPr>
              <w:t>VTAC</w:t>
            </w:r>
            <w:r w:rsidRPr="006757FD">
              <w:rPr>
                <w:rFonts w:cs="Arial"/>
                <w:shd w:val="clear" w:color="auto" w:fill="FFFFFF"/>
              </w:rPr>
              <w:t xml:space="preserve"> is the administrative body which processes applications for universities (and other tertiary institutions) in the Victoria.</w:t>
            </w:r>
          </w:p>
        </w:tc>
        <w:tc>
          <w:tcPr>
            <w:tcW w:w="3691" w:type="dxa"/>
          </w:tcPr>
          <w:p w:rsidR="00861BE5" w:rsidRPr="006757FD" w:rsidRDefault="00A638DD" w:rsidP="00287F49">
            <w:hyperlink r:id="rId90" w:history="1">
              <w:r w:rsidR="00AA37E3" w:rsidRPr="006757FD">
                <w:rPr>
                  <w:rStyle w:val="Hyperlink"/>
                  <w:color w:val="auto"/>
                </w:rPr>
                <w:t>http://www.vtac.edu.au/</w:t>
              </w:r>
            </w:hyperlink>
          </w:p>
          <w:p w:rsidR="00AA37E3" w:rsidRPr="006757FD" w:rsidRDefault="00AA37E3" w:rsidP="00287F49"/>
        </w:tc>
      </w:tr>
      <w:tr w:rsidR="006757FD" w:rsidRPr="006757FD" w:rsidTr="00565E7C">
        <w:tc>
          <w:tcPr>
            <w:tcW w:w="1113" w:type="dxa"/>
          </w:tcPr>
          <w:p w:rsidR="00077D24" w:rsidRPr="006757FD" w:rsidRDefault="00077D24" w:rsidP="00287F49">
            <w:r w:rsidRPr="006757FD">
              <w:t>YACVIC</w:t>
            </w:r>
          </w:p>
        </w:tc>
        <w:tc>
          <w:tcPr>
            <w:tcW w:w="3140" w:type="dxa"/>
          </w:tcPr>
          <w:p w:rsidR="00077D24" w:rsidRPr="006757FD" w:rsidRDefault="00077D24" w:rsidP="00287F49">
            <w:r w:rsidRPr="006757FD">
              <w:t>Youth Affairs Council Victoria</w:t>
            </w:r>
          </w:p>
        </w:tc>
        <w:tc>
          <w:tcPr>
            <w:tcW w:w="6657" w:type="dxa"/>
          </w:tcPr>
          <w:p w:rsidR="00077D24" w:rsidRPr="006757FD" w:rsidRDefault="00077D24" w:rsidP="00287F49">
            <w:r w:rsidRPr="006757FD">
              <w:t>YACVIC is the leading advocate for young people aged 12–25 in Victoria. Refer YDAS.</w:t>
            </w:r>
          </w:p>
        </w:tc>
        <w:tc>
          <w:tcPr>
            <w:tcW w:w="3691" w:type="dxa"/>
          </w:tcPr>
          <w:p w:rsidR="00077D24" w:rsidRPr="006757FD" w:rsidRDefault="00A638DD" w:rsidP="00287F49">
            <w:hyperlink r:id="rId91" w:history="1">
              <w:r w:rsidR="00AA37E3" w:rsidRPr="006757FD">
                <w:rPr>
                  <w:rStyle w:val="Hyperlink"/>
                  <w:color w:val="auto"/>
                </w:rPr>
                <w:t>https://www.yacvic.org.au/</w:t>
              </w:r>
            </w:hyperlink>
          </w:p>
          <w:p w:rsidR="00AA37E3" w:rsidRPr="006757FD" w:rsidRDefault="00AA37E3" w:rsidP="00287F49"/>
        </w:tc>
      </w:tr>
      <w:tr w:rsidR="006757FD" w:rsidRPr="006757FD" w:rsidTr="00565E7C">
        <w:trPr>
          <w:trHeight w:val="565"/>
        </w:trPr>
        <w:tc>
          <w:tcPr>
            <w:tcW w:w="1113" w:type="dxa"/>
          </w:tcPr>
          <w:p w:rsidR="00B0167D" w:rsidRPr="006757FD" w:rsidRDefault="00B0167D" w:rsidP="00287F49">
            <w:r w:rsidRPr="006757FD">
              <w:t>YDAS</w:t>
            </w:r>
          </w:p>
        </w:tc>
        <w:tc>
          <w:tcPr>
            <w:tcW w:w="3140" w:type="dxa"/>
          </w:tcPr>
          <w:p w:rsidR="00B0167D" w:rsidRPr="006757FD" w:rsidRDefault="00B0167D" w:rsidP="00287F49">
            <w:r w:rsidRPr="006757FD">
              <w:t>Youth Disability Advocacy Service</w:t>
            </w:r>
          </w:p>
        </w:tc>
        <w:tc>
          <w:tcPr>
            <w:tcW w:w="6657" w:type="dxa"/>
          </w:tcPr>
          <w:p w:rsidR="00B0167D" w:rsidRPr="006757FD" w:rsidRDefault="00077D24" w:rsidP="00287F49">
            <w:r w:rsidRPr="006757FD">
              <w:t>The Youth Disability Advocacy Service (YDAS) is a state-wide advocacy service for young people with disabilities in Victoria. We are the only advocacy service in Australia which exists specifically to work directly with young people with disabilities to achieve their human rights.</w:t>
            </w:r>
          </w:p>
        </w:tc>
        <w:tc>
          <w:tcPr>
            <w:tcW w:w="3691" w:type="dxa"/>
          </w:tcPr>
          <w:p w:rsidR="00B0167D" w:rsidRPr="006757FD" w:rsidRDefault="00A638DD" w:rsidP="00287F49">
            <w:hyperlink r:id="rId92" w:history="1">
              <w:r w:rsidR="00AA37E3" w:rsidRPr="006757FD">
                <w:rPr>
                  <w:rStyle w:val="Hyperlink"/>
                  <w:color w:val="auto"/>
                </w:rPr>
                <w:t>https://www.yacvic.org.au/ydas</w:t>
              </w:r>
            </w:hyperlink>
          </w:p>
          <w:p w:rsidR="00AA37E3" w:rsidRPr="006757FD" w:rsidRDefault="00AA37E3" w:rsidP="00287F49"/>
        </w:tc>
      </w:tr>
    </w:tbl>
    <w:p w:rsidR="00E75CE2" w:rsidRPr="006757FD" w:rsidRDefault="00E75CE2" w:rsidP="00287F49">
      <w:pPr>
        <w:spacing w:line="240" w:lineRule="auto"/>
      </w:pPr>
    </w:p>
    <w:sectPr w:rsidR="00E75CE2" w:rsidRPr="006757FD" w:rsidSect="00BC6B47">
      <w:headerReference w:type="default" r:id="rId93"/>
      <w:footerReference w:type="default" r:id="rId94"/>
      <w:pgSz w:w="16838" w:h="11906" w:orient="landscape"/>
      <w:pgMar w:top="1276" w:right="1440" w:bottom="567" w:left="1440" w:header="708"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8B" w:rsidRDefault="00401B8B" w:rsidP="00B97871">
      <w:pPr>
        <w:spacing w:after="0" w:line="240" w:lineRule="auto"/>
      </w:pPr>
      <w:r>
        <w:separator/>
      </w:r>
    </w:p>
  </w:endnote>
  <w:endnote w:type="continuationSeparator" w:id="0">
    <w:p w:rsidR="00401B8B" w:rsidRDefault="00401B8B" w:rsidP="00B9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8B" w:rsidRPr="008D69CE" w:rsidRDefault="00A638DD" w:rsidP="004260EE">
    <w:pPr>
      <w:pStyle w:val="Footer"/>
      <w:jc w:val="center"/>
    </w:pPr>
    <w:sdt>
      <w:sdtPr>
        <w:id w:val="1146471410"/>
        <w:docPartObj>
          <w:docPartGallery w:val="Page Numbers (Bottom of Page)"/>
          <w:docPartUnique/>
        </w:docPartObj>
      </w:sdtPr>
      <w:sdtEndPr/>
      <w:sdtContent>
        <w:sdt>
          <w:sdtPr>
            <w:id w:val="-1932886263"/>
            <w:docPartObj>
              <w:docPartGallery w:val="Page Numbers (Top of Page)"/>
              <w:docPartUnique/>
            </w:docPartObj>
          </w:sdtPr>
          <w:sdtEndPr/>
          <w:sdtContent>
            <w:r w:rsidR="00401B8B" w:rsidRPr="008D69CE">
              <w:t xml:space="preserve">Page </w:t>
            </w:r>
            <w:r w:rsidR="00401B8B" w:rsidRPr="008D69CE">
              <w:rPr>
                <w:bCs/>
                <w:sz w:val="24"/>
                <w:szCs w:val="24"/>
              </w:rPr>
              <w:fldChar w:fldCharType="begin"/>
            </w:r>
            <w:r w:rsidR="00401B8B" w:rsidRPr="008D69CE">
              <w:rPr>
                <w:bCs/>
              </w:rPr>
              <w:instrText xml:space="preserve"> PAGE </w:instrText>
            </w:r>
            <w:r w:rsidR="00401B8B" w:rsidRPr="008D69CE">
              <w:rPr>
                <w:bCs/>
                <w:sz w:val="24"/>
                <w:szCs w:val="24"/>
              </w:rPr>
              <w:fldChar w:fldCharType="separate"/>
            </w:r>
            <w:r>
              <w:rPr>
                <w:bCs/>
                <w:noProof/>
              </w:rPr>
              <w:t>2</w:t>
            </w:r>
            <w:r w:rsidR="00401B8B" w:rsidRPr="008D69CE">
              <w:rPr>
                <w:bCs/>
                <w:sz w:val="24"/>
                <w:szCs w:val="24"/>
              </w:rPr>
              <w:fldChar w:fldCharType="end"/>
            </w:r>
            <w:r w:rsidR="00401B8B" w:rsidRPr="008D69CE">
              <w:t xml:space="preserve"> of </w:t>
            </w:r>
            <w:r w:rsidR="00401B8B" w:rsidRPr="008D69CE">
              <w:rPr>
                <w:bCs/>
                <w:sz w:val="24"/>
                <w:szCs w:val="24"/>
              </w:rPr>
              <w:fldChar w:fldCharType="begin"/>
            </w:r>
            <w:r w:rsidR="00401B8B" w:rsidRPr="008D69CE">
              <w:rPr>
                <w:bCs/>
              </w:rPr>
              <w:instrText xml:space="preserve"> NUMPAGES  </w:instrText>
            </w:r>
            <w:r w:rsidR="00401B8B" w:rsidRPr="008D69CE">
              <w:rPr>
                <w:bCs/>
                <w:sz w:val="24"/>
                <w:szCs w:val="24"/>
              </w:rPr>
              <w:fldChar w:fldCharType="separate"/>
            </w:r>
            <w:r>
              <w:rPr>
                <w:bCs/>
                <w:noProof/>
              </w:rPr>
              <w:t>12</w:t>
            </w:r>
            <w:r w:rsidR="00401B8B" w:rsidRPr="008D69CE">
              <w:rPr>
                <w:bCs/>
                <w:sz w:val="24"/>
                <w:szCs w:val="24"/>
              </w:rPr>
              <w:fldChar w:fldCharType="end"/>
            </w:r>
          </w:sdtContent>
        </w:sdt>
      </w:sdtContent>
    </w:sdt>
  </w:p>
  <w:p w:rsidR="00401B8B" w:rsidRPr="00B97871" w:rsidRDefault="00401B8B" w:rsidP="00B97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8B" w:rsidRDefault="00401B8B" w:rsidP="00B97871">
      <w:pPr>
        <w:spacing w:after="0" w:line="240" w:lineRule="auto"/>
      </w:pPr>
      <w:r>
        <w:separator/>
      </w:r>
    </w:p>
  </w:footnote>
  <w:footnote w:type="continuationSeparator" w:id="0">
    <w:p w:rsidR="00401B8B" w:rsidRDefault="00401B8B" w:rsidP="00B97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8B" w:rsidRDefault="00820A54" w:rsidP="00820A54">
    <w:pPr>
      <w:pStyle w:val="Footer"/>
      <w:jc w:val="right"/>
      <w:rPr>
        <w:sz w:val="24"/>
      </w:rPr>
    </w:pPr>
    <w:r w:rsidRPr="00820A54">
      <w:rPr>
        <w:b/>
        <w:sz w:val="24"/>
      </w:rPr>
      <w:t>Acronyms and More</w:t>
    </w:r>
    <w:r>
      <w:rPr>
        <w:sz w:val="24"/>
      </w:rPr>
      <w:tab/>
    </w:r>
    <w:r>
      <w:rPr>
        <w:sz w:val="24"/>
      </w:rPr>
      <w:tab/>
    </w:r>
    <w:r>
      <w:rPr>
        <w:noProof/>
        <w:sz w:val="24"/>
        <w:lang w:eastAsia="en-AU"/>
      </w:rPr>
      <w:drawing>
        <wp:inline distT="0" distB="0" distL="0" distR="0" wp14:anchorId="7A093F16" wp14:editId="4FC6283A">
          <wp:extent cx="1423284" cy="42233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CO Provider Logo colouCMYKout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284" cy="4223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1E"/>
    <w:rsid w:val="00057659"/>
    <w:rsid w:val="0006039F"/>
    <w:rsid w:val="00077D24"/>
    <w:rsid w:val="000A27D1"/>
    <w:rsid w:val="000A6C1E"/>
    <w:rsid w:val="000B18C0"/>
    <w:rsid w:val="000B7AF0"/>
    <w:rsid w:val="000D5738"/>
    <w:rsid w:val="000E14D6"/>
    <w:rsid w:val="000F0552"/>
    <w:rsid w:val="00103118"/>
    <w:rsid w:val="0012275F"/>
    <w:rsid w:val="00125584"/>
    <w:rsid w:val="0012762B"/>
    <w:rsid w:val="00133A38"/>
    <w:rsid w:val="0014160E"/>
    <w:rsid w:val="00150864"/>
    <w:rsid w:val="0015237C"/>
    <w:rsid w:val="00153749"/>
    <w:rsid w:val="00156CE9"/>
    <w:rsid w:val="00165F1A"/>
    <w:rsid w:val="001705D1"/>
    <w:rsid w:val="00181024"/>
    <w:rsid w:val="00186659"/>
    <w:rsid w:val="0018712E"/>
    <w:rsid w:val="001A6490"/>
    <w:rsid w:val="001B2F12"/>
    <w:rsid w:val="001B7F43"/>
    <w:rsid w:val="001D3EF7"/>
    <w:rsid w:val="001E2065"/>
    <w:rsid w:val="001E7F74"/>
    <w:rsid w:val="002136F2"/>
    <w:rsid w:val="00221AC5"/>
    <w:rsid w:val="00225EFE"/>
    <w:rsid w:val="002452F2"/>
    <w:rsid w:val="00251205"/>
    <w:rsid w:val="002619AD"/>
    <w:rsid w:val="00266363"/>
    <w:rsid w:val="0027103A"/>
    <w:rsid w:val="00273DA4"/>
    <w:rsid w:val="00287F49"/>
    <w:rsid w:val="002C204D"/>
    <w:rsid w:val="002D78EA"/>
    <w:rsid w:val="00330184"/>
    <w:rsid w:val="003402A7"/>
    <w:rsid w:val="003602BF"/>
    <w:rsid w:val="00363EBA"/>
    <w:rsid w:val="00364B38"/>
    <w:rsid w:val="00367DBF"/>
    <w:rsid w:val="00390AA6"/>
    <w:rsid w:val="003C3432"/>
    <w:rsid w:val="003D1F9B"/>
    <w:rsid w:val="003E4C2D"/>
    <w:rsid w:val="003F0C52"/>
    <w:rsid w:val="00401B8B"/>
    <w:rsid w:val="00406EFB"/>
    <w:rsid w:val="004154ED"/>
    <w:rsid w:val="004260EE"/>
    <w:rsid w:val="004339D1"/>
    <w:rsid w:val="004607B5"/>
    <w:rsid w:val="00470911"/>
    <w:rsid w:val="0047490A"/>
    <w:rsid w:val="00485556"/>
    <w:rsid w:val="00494272"/>
    <w:rsid w:val="00494DD5"/>
    <w:rsid w:val="004B4B81"/>
    <w:rsid w:val="004B6ADD"/>
    <w:rsid w:val="004C1751"/>
    <w:rsid w:val="004C4DFE"/>
    <w:rsid w:val="0050348C"/>
    <w:rsid w:val="00506EF2"/>
    <w:rsid w:val="00510801"/>
    <w:rsid w:val="005119C1"/>
    <w:rsid w:val="00515029"/>
    <w:rsid w:val="00515DD0"/>
    <w:rsid w:val="00540DA7"/>
    <w:rsid w:val="00565E7C"/>
    <w:rsid w:val="00566E1D"/>
    <w:rsid w:val="00572E4D"/>
    <w:rsid w:val="005A35E4"/>
    <w:rsid w:val="005D394E"/>
    <w:rsid w:val="005F384F"/>
    <w:rsid w:val="005F517F"/>
    <w:rsid w:val="006024FE"/>
    <w:rsid w:val="00622A54"/>
    <w:rsid w:val="00625BD5"/>
    <w:rsid w:val="0064008D"/>
    <w:rsid w:val="006475AC"/>
    <w:rsid w:val="00651F41"/>
    <w:rsid w:val="006757FD"/>
    <w:rsid w:val="00676615"/>
    <w:rsid w:val="0068086B"/>
    <w:rsid w:val="006C5AF8"/>
    <w:rsid w:val="006E1899"/>
    <w:rsid w:val="006E2926"/>
    <w:rsid w:val="006F1257"/>
    <w:rsid w:val="00720891"/>
    <w:rsid w:val="00720928"/>
    <w:rsid w:val="00730AC0"/>
    <w:rsid w:val="007447F0"/>
    <w:rsid w:val="00747CFF"/>
    <w:rsid w:val="0075001D"/>
    <w:rsid w:val="007560F0"/>
    <w:rsid w:val="00772920"/>
    <w:rsid w:val="007A3C69"/>
    <w:rsid w:val="007A589D"/>
    <w:rsid w:val="007A7812"/>
    <w:rsid w:val="007C4E63"/>
    <w:rsid w:val="007D37D4"/>
    <w:rsid w:val="007F002B"/>
    <w:rsid w:val="007F6D00"/>
    <w:rsid w:val="00811DE0"/>
    <w:rsid w:val="00820935"/>
    <w:rsid w:val="00820A54"/>
    <w:rsid w:val="008224C2"/>
    <w:rsid w:val="00840F2E"/>
    <w:rsid w:val="00843284"/>
    <w:rsid w:val="00861BE5"/>
    <w:rsid w:val="00862787"/>
    <w:rsid w:val="008714E3"/>
    <w:rsid w:val="00872E05"/>
    <w:rsid w:val="008B03BF"/>
    <w:rsid w:val="008C121A"/>
    <w:rsid w:val="008C7CCE"/>
    <w:rsid w:val="008D69CE"/>
    <w:rsid w:val="009011DD"/>
    <w:rsid w:val="00934FE8"/>
    <w:rsid w:val="0095298D"/>
    <w:rsid w:val="009A4373"/>
    <w:rsid w:val="009B3B4F"/>
    <w:rsid w:val="009C383D"/>
    <w:rsid w:val="009E0625"/>
    <w:rsid w:val="009E1BBA"/>
    <w:rsid w:val="009F458C"/>
    <w:rsid w:val="009F53A8"/>
    <w:rsid w:val="00A0073B"/>
    <w:rsid w:val="00A05B1B"/>
    <w:rsid w:val="00A115B6"/>
    <w:rsid w:val="00A21ED4"/>
    <w:rsid w:val="00A30074"/>
    <w:rsid w:val="00A56262"/>
    <w:rsid w:val="00A57272"/>
    <w:rsid w:val="00A638DD"/>
    <w:rsid w:val="00A712A6"/>
    <w:rsid w:val="00A81D07"/>
    <w:rsid w:val="00A840D5"/>
    <w:rsid w:val="00AA288A"/>
    <w:rsid w:val="00AA37E3"/>
    <w:rsid w:val="00AB7061"/>
    <w:rsid w:val="00AC3629"/>
    <w:rsid w:val="00AD2958"/>
    <w:rsid w:val="00AF6042"/>
    <w:rsid w:val="00B0167D"/>
    <w:rsid w:val="00B0385A"/>
    <w:rsid w:val="00B065FD"/>
    <w:rsid w:val="00B359A7"/>
    <w:rsid w:val="00B71899"/>
    <w:rsid w:val="00B75167"/>
    <w:rsid w:val="00B75D1B"/>
    <w:rsid w:val="00B766B2"/>
    <w:rsid w:val="00B97871"/>
    <w:rsid w:val="00BA0F47"/>
    <w:rsid w:val="00BA702A"/>
    <w:rsid w:val="00BC4FBA"/>
    <w:rsid w:val="00BC6B47"/>
    <w:rsid w:val="00BE0A70"/>
    <w:rsid w:val="00C01F10"/>
    <w:rsid w:val="00C10DF1"/>
    <w:rsid w:val="00C11BF7"/>
    <w:rsid w:val="00C12214"/>
    <w:rsid w:val="00C169DA"/>
    <w:rsid w:val="00C16CEB"/>
    <w:rsid w:val="00C2365E"/>
    <w:rsid w:val="00C4029B"/>
    <w:rsid w:val="00C42CD2"/>
    <w:rsid w:val="00C46DC2"/>
    <w:rsid w:val="00C559F8"/>
    <w:rsid w:val="00C57E09"/>
    <w:rsid w:val="00C75BAD"/>
    <w:rsid w:val="00C76489"/>
    <w:rsid w:val="00C86C6D"/>
    <w:rsid w:val="00CB073C"/>
    <w:rsid w:val="00CB08D2"/>
    <w:rsid w:val="00CB7B39"/>
    <w:rsid w:val="00CC5638"/>
    <w:rsid w:val="00CC7CF1"/>
    <w:rsid w:val="00CE0CAE"/>
    <w:rsid w:val="00D13041"/>
    <w:rsid w:val="00D15429"/>
    <w:rsid w:val="00D4318B"/>
    <w:rsid w:val="00D452A0"/>
    <w:rsid w:val="00D577FD"/>
    <w:rsid w:val="00D57C3A"/>
    <w:rsid w:val="00D714E2"/>
    <w:rsid w:val="00D8100B"/>
    <w:rsid w:val="00D9781F"/>
    <w:rsid w:val="00DC424C"/>
    <w:rsid w:val="00DC4F71"/>
    <w:rsid w:val="00DC4F83"/>
    <w:rsid w:val="00DC669D"/>
    <w:rsid w:val="00DD455D"/>
    <w:rsid w:val="00E1014B"/>
    <w:rsid w:val="00E12F34"/>
    <w:rsid w:val="00E13FCE"/>
    <w:rsid w:val="00E23246"/>
    <w:rsid w:val="00E622F6"/>
    <w:rsid w:val="00E758A3"/>
    <w:rsid w:val="00E75CE2"/>
    <w:rsid w:val="00E87ACE"/>
    <w:rsid w:val="00E970DD"/>
    <w:rsid w:val="00EA3F29"/>
    <w:rsid w:val="00EB0D23"/>
    <w:rsid w:val="00EB1298"/>
    <w:rsid w:val="00ED25E3"/>
    <w:rsid w:val="00ED7B24"/>
    <w:rsid w:val="00EE3D80"/>
    <w:rsid w:val="00EE5938"/>
    <w:rsid w:val="00EF0341"/>
    <w:rsid w:val="00EF3693"/>
    <w:rsid w:val="00F04D8C"/>
    <w:rsid w:val="00F06B65"/>
    <w:rsid w:val="00F17317"/>
    <w:rsid w:val="00F27335"/>
    <w:rsid w:val="00F32024"/>
    <w:rsid w:val="00F379AB"/>
    <w:rsid w:val="00F44D97"/>
    <w:rsid w:val="00F5132E"/>
    <w:rsid w:val="00F57688"/>
    <w:rsid w:val="00F738B2"/>
    <w:rsid w:val="00F8646E"/>
    <w:rsid w:val="00F945D2"/>
    <w:rsid w:val="00FF7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7EAE72A-AA18-447B-B396-096C2956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A7"/>
  </w:style>
  <w:style w:type="paragraph" w:styleId="Heading1">
    <w:name w:val="heading 1"/>
    <w:basedOn w:val="Normal"/>
    <w:next w:val="Normal"/>
    <w:link w:val="Heading1Char"/>
    <w:uiPriority w:val="9"/>
    <w:qFormat/>
    <w:rsid w:val="006475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A649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A649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3A8"/>
    <w:rPr>
      <w:color w:val="0563C1" w:themeColor="hyperlink"/>
      <w:u w:val="single"/>
    </w:rPr>
  </w:style>
  <w:style w:type="character" w:customStyle="1" w:styleId="Heading2Char">
    <w:name w:val="Heading 2 Char"/>
    <w:basedOn w:val="DefaultParagraphFont"/>
    <w:link w:val="Heading2"/>
    <w:uiPriority w:val="9"/>
    <w:rsid w:val="001A649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A6490"/>
    <w:rPr>
      <w:rFonts w:ascii="Times New Roman" w:eastAsia="Times New Roman" w:hAnsi="Times New Roman" w:cs="Times New Roman"/>
      <w:b/>
      <w:bCs/>
      <w:sz w:val="27"/>
      <w:szCs w:val="27"/>
      <w:lang w:eastAsia="en-AU"/>
    </w:rPr>
  </w:style>
  <w:style w:type="character" w:customStyle="1" w:styleId="download-link-icon">
    <w:name w:val="download-link-icon"/>
    <w:basedOn w:val="DefaultParagraphFont"/>
    <w:rsid w:val="00E13FCE"/>
  </w:style>
  <w:style w:type="paragraph" w:styleId="Header">
    <w:name w:val="header"/>
    <w:basedOn w:val="Normal"/>
    <w:link w:val="HeaderChar"/>
    <w:uiPriority w:val="99"/>
    <w:unhideWhenUsed/>
    <w:rsid w:val="00B97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871"/>
  </w:style>
  <w:style w:type="paragraph" w:styleId="Footer">
    <w:name w:val="footer"/>
    <w:basedOn w:val="Normal"/>
    <w:link w:val="FooterChar"/>
    <w:uiPriority w:val="99"/>
    <w:unhideWhenUsed/>
    <w:rsid w:val="00B97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871"/>
  </w:style>
  <w:style w:type="character" w:styleId="Emphasis">
    <w:name w:val="Emphasis"/>
    <w:basedOn w:val="DefaultParagraphFont"/>
    <w:uiPriority w:val="20"/>
    <w:qFormat/>
    <w:rsid w:val="00E75CE2"/>
    <w:rPr>
      <w:i/>
      <w:iCs/>
    </w:rPr>
  </w:style>
  <w:style w:type="paragraph" w:styleId="NormalWeb">
    <w:name w:val="Normal (Web)"/>
    <w:basedOn w:val="Normal"/>
    <w:uiPriority w:val="99"/>
    <w:unhideWhenUsed/>
    <w:rsid w:val="00DD45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6475A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B0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D2"/>
    <w:rPr>
      <w:rFonts w:ascii="Segoe UI" w:hAnsi="Segoe UI" w:cs="Segoe UI"/>
      <w:sz w:val="18"/>
      <w:szCs w:val="18"/>
    </w:rPr>
  </w:style>
  <w:style w:type="character" w:styleId="FollowedHyperlink">
    <w:name w:val="FollowedHyperlink"/>
    <w:basedOn w:val="DefaultParagraphFont"/>
    <w:uiPriority w:val="99"/>
    <w:semiHidden/>
    <w:unhideWhenUsed/>
    <w:rsid w:val="00AC3629"/>
    <w:rPr>
      <w:color w:val="954F72" w:themeColor="followedHyperlink"/>
      <w:u w:val="single"/>
    </w:rPr>
  </w:style>
  <w:style w:type="character" w:styleId="Strong">
    <w:name w:val="Strong"/>
    <w:basedOn w:val="DefaultParagraphFont"/>
    <w:uiPriority w:val="22"/>
    <w:qFormat/>
    <w:rsid w:val="00C12214"/>
    <w:rPr>
      <w:b/>
      <w:bCs/>
    </w:rPr>
  </w:style>
  <w:style w:type="paragraph" w:styleId="ListParagraph">
    <w:name w:val="List Paragraph"/>
    <w:basedOn w:val="Normal"/>
    <w:uiPriority w:val="34"/>
    <w:qFormat/>
    <w:rsid w:val="00364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939">
      <w:bodyDiv w:val="1"/>
      <w:marLeft w:val="0"/>
      <w:marRight w:val="0"/>
      <w:marTop w:val="0"/>
      <w:marBottom w:val="0"/>
      <w:divBdr>
        <w:top w:val="none" w:sz="0" w:space="0" w:color="auto"/>
        <w:left w:val="none" w:sz="0" w:space="0" w:color="auto"/>
        <w:bottom w:val="none" w:sz="0" w:space="0" w:color="auto"/>
        <w:right w:val="none" w:sz="0" w:space="0" w:color="auto"/>
      </w:divBdr>
    </w:div>
    <w:div w:id="182209225">
      <w:bodyDiv w:val="1"/>
      <w:marLeft w:val="0"/>
      <w:marRight w:val="0"/>
      <w:marTop w:val="0"/>
      <w:marBottom w:val="0"/>
      <w:divBdr>
        <w:top w:val="none" w:sz="0" w:space="0" w:color="auto"/>
        <w:left w:val="none" w:sz="0" w:space="0" w:color="auto"/>
        <w:bottom w:val="none" w:sz="0" w:space="0" w:color="auto"/>
        <w:right w:val="none" w:sz="0" w:space="0" w:color="auto"/>
      </w:divBdr>
    </w:div>
    <w:div w:id="332224219">
      <w:bodyDiv w:val="1"/>
      <w:marLeft w:val="0"/>
      <w:marRight w:val="0"/>
      <w:marTop w:val="0"/>
      <w:marBottom w:val="0"/>
      <w:divBdr>
        <w:top w:val="none" w:sz="0" w:space="0" w:color="auto"/>
        <w:left w:val="none" w:sz="0" w:space="0" w:color="auto"/>
        <w:bottom w:val="none" w:sz="0" w:space="0" w:color="auto"/>
        <w:right w:val="none" w:sz="0" w:space="0" w:color="auto"/>
      </w:divBdr>
      <w:divsChild>
        <w:div w:id="1982495970">
          <w:marLeft w:val="0"/>
          <w:marRight w:val="0"/>
          <w:marTop w:val="0"/>
          <w:marBottom w:val="0"/>
          <w:divBdr>
            <w:top w:val="none" w:sz="0" w:space="0" w:color="auto"/>
            <w:left w:val="none" w:sz="0" w:space="0" w:color="auto"/>
            <w:bottom w:val="none" w:sz="0" w:space="0" w:color="auto"/>
            <w:right w:val="none" w:sz="0" w:space="0" w:color="auto"/>
          </w:divBdr>
          <w:divsChild>
            <w:div w:id="2022900845">
              <w:marLeft w:val="0"/>
              <w:marRight w:val="0"/>
              <w:marTop w:val="0"/>
              <w:marBottom w:val="240"/>
              <w:divBdr>
                <w:top w:val="none" w:sz="0" w:space="0" w:color="auto"/>
                <w:left w:val="none" w:sz="0" w:space="0" w:color="auto"/>
                <w:bottom w:val="none" w:sz="0" w:space="0" w:color="auto"/>
                <w:right w:val="none" w:sz="0" w:space="0" w:color="auto"/>
              </w:divBdr>
              <w:divsChild>
                <w:div w:id="1137793467">
                  <w:marLeft w:val="0"/>
                  <w:marRight w:val="0"/>
                  <w:marTop w:val="0"/>
                  <w:marBottom w:val="0"/>
                  <w:divBdr>
                    <w:top w:val="none" w:sz="0" w:space="0" w:color="auto"/>
                    <w:left w:val="none" w:sz="0" w:space="0" w:color="auto"/>
                    <w:bottom w:val="none" w:sz="0" w:space="0" w:color="auto"/>
                    <w:right w:val="none" w:sz="0" w:space="0" w:color="auto"/>
                  </w:divBdr>
                </w:div>
              </w:divsChild>
            </w:div>
            <w:div w:id="1235428835">
              <w:marLeft w:val="0"/>
              <w:marRight w:val="0"/>
              <w:marTop w:val="0"/>
              <w:marBottom w:val="0"/>
              <w:divBdr>
                <w:top w:val="none" w:sz="0" w:space="0" w:color="auto"/>
                <w:left w:val="none" w:sz="0" w:space="0" w:color="auto"/>
                <w:bottom w:val="none" w:sz="0" w:space="0" w:color="auto"/>
                <w:right w:val="none" w:sz="0" w:space="0" w:color="auto"/>
              </w:divBdr>
              <w:divsChild>
                <w:div w:id="17599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4007">
      <w:bodyDiv w:val="1"/>
      <w:marLeft w:val="0"/>
      <w:marRight w:val="0"/>
      <w:marTop w:val="0"/>
      <w:marBottom w:val="0"/>
      <w:divBdr>
        <w:top w:val="none" w:sz="0" w:space="0" w:color="auto"/>
        <w:left w:val="none" w:sz="0" w:space="0" w:color="auto"/>
        <w:bottom w:val="none" w:sz="0" w:space="0" w:color="auto"/>
        <w:right w:val="none" w:sz="0" w:space="0" w:color="auto"/>
      </w:divBdr>
    </w:div>
    <w:div w:id="501431929">
      <w:bodyDiv w:val="1"/>
      <w:marLeft w:val="0"/>
      <w:marRight w:val="0"/>
      <w:marTop w:val="0"/>
      <w:marBottom w:val="0"/>
      <w:divBdr>
        <w:top w:val="none" w:sz="0" w:space="0" w:color="auto"/>
        <w:left w:val="none" w:sz="0" w:space="0" w:color="auto"/>
        <w:bottom w:val="none" w:sz="0" w:space="0" w:color="auto"/>
        <w:right w:val="none" w:sz="0" w:space="0" w:color="auto"/>
      </w:divBdr>
      <w:divsChild>
        <w:div w:id="2107800686">
          <w:marLeft w:val="-225"/>
          <w:marRight w:val="0"/>
          <w:marTop w:val="0"/>
          <w:marBottom w:val="0"/>
          <w:divBdr>
            <w:top w:val="none" w:sz="0" w:space="0" w:color="auto"/>
            <w:left w:val="none" w:sz="0" w:space="0" w:color="auto"/>
            <w:bottom w:val="none" w:sz="0" w:space="0" w:color="auto"/>
            <w:right w:val="none" w:sz="0" w:space="0" w:color="auto"/>
          </w:divBdr>
        </w:div>
        <w:div w:id="1023944998">
          <w:marLeft w:val="-225"/>
          <w:marRight w:val="0"/>
          <w:marTop w:val="120"/>
          <w:marBottom w:val="0"/>
          <w:divBdr>
            <w:top w:val="none" w:sz="0" w:space="0" w:color="auto"/>
            <w:left w:val="none" w:sz="0" w:space="0" w:color="EDEDED"/>
            <w:bottom w:val="none" w:sz="0" w:space="0" w:color="EDEDED"/>
            <w:right w:val="none" w:sz="0" w:space="0" w:color="EDEDED"/>
          </w:divBdr>
        </w:div>
      </w:divsChild>
    </w:div>
    <w:div w:id="505480564">
      <w:bodyDiv w:val="1"/>
      <w:marLeft w:val="0"/>
      <w:marRight w:val="0"/>
      <w:marTop w:val="0"/>
      <w:marBottom w:val="0"/>
      <w:divBdr>
        <w:top w:val="none" w:sz="0" w:space="0" w:color="auto"/>
        <w:left w:val="none" w:sz="0" w:space="0" w:color="auto"/>
        <w:bottom w:val="none" w:sz="0" w:space="0" w:color="auto"/>
        <w:right w:val="none" w:sz="0" w:space="0" w:color="auto"/>
      </w:divBdr>
    </w:div>
    <w:div w:id="646206997">
      <w:bodyDiv w:val="1"/>
      <w:marLeft w:val="0"/>
      <w:marRight w:val="0"/>
      <w:marTop w:val="0"/>
      <w:marBottom w:val="0"/>
      <w:divBdr>
        <w:top w:val="none" w:sz="0" w:space="0" w:color="auto"/>
        <w:left w:val="none" w:sz="0" w:space="0" w:color="auto"/>
        <w:bottom w:val="none" w:sz="0" w:space="0" w:color="auto"/>
        <w:right w:val="none" w:sz="0" w:space="0" w:color="auto"/>
      </w:divBdr>
      <w:divsChild>
        <w:div w:id="1984893611">
          <w:marLeft w:val="0"/>
          <w:marRight w:val="0"/>
          <w:marTop w:val="90"/>
          <w:marBottom w:val="0"/>
          <w:divBdr>
            <w:top w:val="none" w:sz="0" w:space="0" w:color="auto"/>
            <w:left w:val="none" w:sz="0" w:space="0" w:color="auto"/>
            <w:bottom w:val="none" w:sz="0" w:space="0" w:color="auto"/>
            <w:right w:val="none" w:sz="0" w:space="0" w:color="auto"/>
          </w:divBdr>
          <w:divsChild>
            <w:div w:id="943851951">
              <w:marLeft w:val="0"/>
              <w:marRight w:val="0"/>
              <w:marTop w:val="0"/>
              <w:marBottom w:val="0"/>
              <w:divBdr>
                <w:top w:val="none" w:sz="0" w:space="0" w:color="auto"/>
                <w:left w:val="none" w:sz="0" w:space="0" w:color="auto"/>
                <w:bottom w:val="none" w:sz="0" w:space="0" w:color="auto"/>
                <w:right w:val="none" w:sz="0" w:space="0" w:color="auto"/>
              </w:divBdr>
              <w:divsChild>
                <w:div w:id="1706175189">
                  <w:marLeft w:val="0"/>
                  <w:marRight w:val="0"/>
                  <w:marTop w:val="0"/>
                  <w:marBottom w:val="0"/>
                  <w:divBdr>
                    <w:top w:val="none" w:sz="0" w:space="0" w:color="auto"/>
                    <w:left w:val="none" w:sz="0" w:space="0" w:color="auto"/>
                    <w:bottom w:val="none" w:sz="0" w:space="0" w:color="auto"/>
                    <w:right w:val="none" w:sz="0" w:space="0" w:color="auto"/>
                  </w:divBdr>
                  <w:divsChild>
                    <w:div w:id="1982037911">
                      <w:marLeft w:val="0"/>
                      <w:marRight w:val="0"/>
                      <w:marTop w:val="0"/>
                      <w:marBottom w:val="390"/>
                      <w:divBdr>
                        <w:top w:val="none" w:sz="0" w:space="0" w:color="auto"/>
                        <w:left w:val="none" w:sz="0" w:space="0" w:color="auto"/>
                        <w:bottom w:val="none" w:sz="0" w:space="0" w:color="auto"/>
                        <w:right w:val="none" w:sz="0" w:space="0" w:color="auto"/>
                      </w:divBdr>
                      <w:divsChild>
                        <w:div w:id="503781277">
                          <w:marLeft w:val="0"/>
                          <w:marRight w:val="0"/>
                          <w:marTop w:val="0"/>
                          <w:marBottom w:val="0"/>
                          <w:divBdr>
                            <w:top w:val="none" w:sz="0" w:space="0" w:color="auto"/>
                            <w:left w:val="none" w:sz="0" w:space="0" w:color="auto"/>
                            <w:bottom w:val="none" w:sz="0" w:space="0" w:color="auto"/>
                            <w:right w:val="none" w:sz="0" w:space="0" w:color="auto"/>
                          </w:divBdr>
                          <w:divsChild>
                            <w:div w:id="173229442">
                              <w:marLeft w:val="0"/>
                              <w:marRight w:val="0"/>
                              <w:marTop w:val="0"/>
                              <w:marBottom w:val="0"/>
                              <w:divBdr>
                                <w:top w:val="none" w:sz="0" w:space="0" w:color="auto"/>
                                <w:left w:val="none" w:sz="0" w:space="0" w:color="auto"/>
                                <w:bottom w:val="none" w:sz="0" w:space="0" w:color="auto"/>
                                <w:right w:val="none" w:sz="0" w:space="0" w:color="auto"/>
                              </w:divBdr>
                              <w:divsChild>
                                <w:div w:id="4111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16134">
      <w:bodyDiv w:val="1"/>
      <w:marLeft w:val="0"/>
      <w:marRight w:val="0"/>
      <w:marTop w:val="0"/>
      <w:marBottom w:val="0"/>
      <w:divBdr>
        <w:top w:val="none" w:sz="0" w:space="0" w:color="auto"/>
        <w:left w:val="none" w:sz="0" w:space="0" w:color="auto"/>
        <w:bottom w:val="none" w:sz="0" w:space="0" w:color="auto"/>
        <w:right w:val="none" w:sz="0" w:space="0" w:color="auto"/>
      </w:divBdr>
    </w:div>
    <w:div w:id="921448028">
      <w:bodyDiv w:val="1"/>
      <w:marLeft w:val="0"/>
      <w:marRight w:val="0"/>
      <w:marTop w:val="0"/>
      <w:marBottom w:val="0"/>
      <w:divBdr>
        <w:top w:val="none" w:sz="0" w:space="0" w:color="auto"/>
        <w:left w:val="none" w:sz="0" w:space="0" w:color="auto"/>
        <w:bottom w:val="none" w:sz="0" w:space="0" w:color="auto"/>
        <w:right w:val="none" w:sz="0" w:space="0" w:color="auto"/>
      </w:divBdr>
    </w:div>
    <w:div w:id="927735947">
      <w:bodyDiv w:val="1"/>
      <w:marLeft w:val="0"/>
      <w:marRight w:val="0"/>
      <w:marTop w:val="0"/>
      <w:marBottom w:val="0"/>
      <w:divBdr>
        <w:top w:val="none" w:sz="0" w:space="0" w:color="auto"/>
        <w:left w:val="none" w:sz="0" w:space="0" w:color="auto"/>
        <w:bottom w:val="none" w:sz="0" w:space="0" w:color="auto"/>
        <w:right w:val="none" w:sz="0" w:space="0" w:color="auto"/>
      </w:divBdr>
    </w:div>
    <w:div w:id="937566384">
      <w:bodyDiv w:val="1"/>
      <w:marLeft w:val="0"/>
      <w:marRight w:val="0"/>
      <w:marTop w:val="0"/>
      <w:marBottom w:val="0"/>
      <w:divBdr>
        <w:top w:val="none" w:sz="0" w:space="0" w:color="auto"/>
        <w:left w:val="none" w:sz="0" w:space="0" w:color="auto"/>
        <w:bottom w:val="none" w:sz="0" w:space="0" w:color="auto"/>
        <w:right w:val="none" w:sz="0" w:space="0" w:color="auto"/>
      </w:divBdr>
    </w:div>
    <w:div w:id="1036195996">
      <w:bodyDiv w:val="1"/>
      <w:marLeft w:val="0"/>
      <w:marRight w:val="0"/>
      <w:marTop w:val="0"/>
      <w:marBottom w:val="0"/>
      <w:divBdr>
        <w:top w:val="none" w:sz="0" w:space="0" w:color="auto"/>
        <w:left w:val="none" w:sz="0" w:space="0" w:color="auto"/>
        <w:bottom w:val="none" w:sz="0" w:space="0" w:color="auto"/>
        <w:right w:val="none" w:sz="0" w:space="0" w:color="auto"/>
      </w:divBdr>
    </w:div>
    <w:div w:id="1090278818">
      <w:bodyDiv w:val="1"/>
      <w:marLeft w:val="0"/>
      <w:marRight w:val="0"/>
      <w:marTop w:val="0"/>
      <w:marBottom w:val="0"/>
      <w:divBdr>
        <w:top w:val="none" w:sz="0" w:space="0" w:color="auto"/>
        <w:left w:val="none" w:sz="0" w:space="0" w:color="auto"/>
        <w:bottom w:val="none" w:sz="0" w:space="0" w:color="auto"/>
        <w:right w:val="none" w:sz="0" w:space="0" w:color="auto"/>
      </w:divBdr>
    </w:div>
    <w:div w:id="1109398933">
      <w:bodyDiv w:val="1"/>
      <w:marLeft w:val="0"/>
      <w:marRight w:val="0"/>
      <w:marTop w:val="0"/>
      <w:marBottom w:val="0"/>
      <w:divBdr>
        <w:top w:val="none" w:sz="0" w:space="0" w:color="auto"/>
        <w:left w:val="none" w:sz="0" w:space="0" w:color="auto"/>
        <w:bottom w:val="none" w:sz="0" w:space="0" w:color="auto"/>
        <w:right w:val="none" w:sz="0" w:space="0" w:color="auto"/>
      </w:divBdr>
    </w:div>
    <w:div w:id="1158764170">
      <w:bodyDiv w:val="1"/>
      <w:marLeft w:val="0"/>
      <w:marRight w:val="0"/>
      <w:marTop w:val="0"/>
      <w:marBottom w:val="0"/>
      <w:divBdr>
        <w:top w:val="none" w:sz="0" w:space="0" w:color="auto"/>
        <w:left w:val="none" w:sz="0" w:space="0" w:color="auto"/>
        <w:bottom w:val="none" w:sz="0" w:space="0" w:color="auto"/>
        <w:right w:val="none" w:sz="0" w:space="0" w:color="auto"/>
      </w:divBdr>
      <w:divsChild>
        <w:div w:id="1917090848">
          <w:marLeft w:val="0"/>
          <w:marRight w:val="0"/>
          <w:marTop w:val="0"/>
          <w:marBottom w:val="0"/>
          <w:divBdr>
            <w:top w:val="none" w:sz="0" w:space="0" w:color="auto"/>
            <w:left w:val="none" w:sz="0" w:space="0" w:color="auto"/>
            <w:bottom w:val="none" w:sz="0" w:space="0" w:color="auto"/>
            <w:right w:val="none" w:sz="0" w:space="0" w:color="auto"/>
          </w:divBdr>
          <w:divsChild>
            <w:div w:id="1879006205">
              <w:marLeft w:val="0"/>
              <w:marRight w:val="0"/>
              <w:marTop w:val="288"/>
              <w:marBottom w:val="0"/>
              <w:divBdr>
                <w:top w:val="none" w:sz="0" w:space="0" w:color="auto"/>
                <w:left w:val="none" w:sz="0" w:space="0" w:color="auto"/>
                <w:bottom w:val="none" w:sz="0" w:space="0" w:color="auto"/>
                <w:right w:val="none" w:sz="0" w:space="0" w:color="auto"/>
              </w:divBdr>
              <w:divsChild>
                <w:div w:id="222446740">
                  <w:marLeft w:val="0"/>
                  <w:marRight w:val="0"/>
                  <w:marTop w:val="0"/>
                  <w:marBottom w:val="0"/>
                  <w:divBdr>
                    <w:top w:val="none" w:sz="0" w:space="0" w:color="auto"/>
                    <w:left w:val="none" w:sz="0" w:space="0" w:color="auto"/>
                    <w:bottom w:val="none" w:sz="0" w:space="0" w:color="auto"/>
                    <w:right w:val="none" w:sz="0" w:space="0" w:color="auto"/>
                  </w:divBdr>
                </w:div>
              </w:divsChild>
            </w:div>
            <w:div w:id="673411777">
              <w:marLeft w:val="192"/>
              <w:marRight w:val="0"/>
              <w:marTop w:val="288"/>
              <w:marBottom w:val="0"/>
              <w:divBdr>
                <w:top w:val="none" w:sz="0" w:space="0" w:color="auto"/>
                <w:left w:val="none" w:sz="0" w:space="0" w:color="auto"/>
                <w:bottom w:val="none" w:sz="0" w:space="0" w:color="auto"/>
                <w:right w:val="none" w:sz="0" w:space="0" w:color="auto"/>
              </w:divBdr>
              <w:divsChild>
                <w:div w:id="6564674">
                  <w:marLeft w:val="0"/>
                  <w:marRight w:val="0"/>
                  <w:marTop w:val="0"/>
                  <w:marBottom w:val="0"/>
                  <w:divBdr>
                    <w:top w:val="none" w:sz="0" w:space="0" w:color="auto"/>
                    <w:left w:val="none" w:sz="0" w:space="0" w:color="auto"/>
                    <w:bottom w:val="none" w:sz="0" w:space="0" w:color="auto"/>
                    <w:right w:val="none" w:sz="0" w:space="0" w:color="auto"/>
                  </w:divBdr>
                  <w:divsChild>
                    <w:div w:id="2328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3921">
          <w:marLeft w:val="0"/>
          <w:marRight w:val="0"/>
          <w:marTop w:val="0"/>
          <w:marBottom w:val="0"/>
          <w:divBdr>
            <w:top w:val="none" w:sz="0" w:space="0" w:color="auto"/>
            <w:left w:val="none" w:sz="0" w:space="0" w:color="auto"/>
            <w:bottom w:val="none" w:sz="0" w:space="0" w:color="auto"/>
            <w:right w:val="none" w:sz="0" w:space="0" w:color="auto"/>
          </w:divBdr>
          <w:divsChild>
            <w:div w:id="1172375075">
              <w:marLeft w:val="0"/>
              <w:marRight w:val="0"/>
              <w:marTop w:val="0"/>
              <w:marBottom w:val="0"/>
              <w:divBdr>
                <w:top w:val="none" w:sz="0" w:space="0" w:color="auto"/>
                <w:left w:val="none" w:sz="0" w:space="0" w:color="auto"/>
                <w:bottom w:val="none" w:sz="0" w:space="0" w:color="auto"/>
                <w:right w:val="none" w:sz="0" w:space="0" w:color="auto"/>
              </w:divBdr>
              <w:divsChild>
                <w:div w:id="76632939">
                  <w:marLeft w:val="0"/>
                  <w:marRight w:val="0"/>
                  <w:marTop w:val="0"/>
                  <w:marBottom w:val="384"/>
                  <w:divBdr>
                    <w:top w:val="none" w:sz="0" w:space="0" w:color="auto"/>
                    <w:left w:val="none" w:sz="0" w:space="0" w:color="auto"/>
                    <w:bottom w:val="single" w:sz="6" w:space="19" w:color="DDDDDD"/>
                    <w:right w:val="none" w:sz="0" w:space="0" w:color="auto"/>
                  </w:divBdr>
                </w:div>
              </w:divsChild>
            </w:div>
          </w:divsChild>
        </w:div>
      </w:divsChild>
    </w:div>
    <w:div w:id="1235698259">
      <w:bodyDiv w:val="1"/>
      <w:marLeft w:val="0"/>
      <w:marRight w:val="0"/>
      <w:marTop w:val="0"/>
      <w:marBottom w:val="0"/>
      <w:divBdr>
        <w:top w:val="none" w:sz="0" w:space="0" w:color="auto"/>
        <w:left w:val="none" w:sz="0" w:space="0" w:color="auto"/>
        <w:bottom w:val="none" w:sz="0" w:space="0" w:color="auto"/>
        <w:right w:val="none" w:sz="0" w:space="0" w:color="auto"/>
      </w:divBdr>
    </w:div>
    <w:div w:id="1337611945">
      <w:bodyDiv w:val="1"/>
      <w:marLeft w:val="0"/>
      <w:marRight w:val="0"/>
      <w:marTop w:val="0"/>
      <w:marBottom w:val="0"/>
      <w:divBdr>
        <w:top w:val="none" w:sz="0" w:space="0" w:color="auto"/>
        <w:left w:val="none" w:sz="0" w:space="0" w:color="auto"/>
        <w:bottom w:val="none" w:sz="0" w:space="0" w:color="auto"/>
        <w:right w:val="none" w:sz="0" w:space="0" w:color="auto"/>
      </w:divBdr>
    </w:div>
    <w:div w:id="1353536196">
      <w:bodyDiv w:val="1"/>
      <w:marLeft w:val="0"/>
      <w:marRight w:val="0"/>
      <w:marTop w:val="0"/>
      <w:marBottom w:val="0"/>
      <w:divBdr>
        <w:top w:val="none" w:sz="0" w:space="0" w:color="auto"/>
        <w:left w:val="none" w:sz="0" w:space="0" w:color="auto"/>
        <w:bottom w:val="none" w:sz="0" w:space="0" w:color="auto"/>
        <w:right w:val="none" w:sz="0" w:space="0" w:color="auto"/>
      </w:divBdr>
      <w:divsChild>
        <w:div w:id="570701776">
          <w:marLeft w:val="0"/>
          <w:marRight w:val="0"/>
          <w:marTop w:val="0"/>
          <w:marBottom w:val="0"/>
          <w:divBdr>
            <w:top w:val="none" w:sz="0" w:space="0" w:color="auto"/>
            <w:left w:val="none" w:sz="0" w:space="0" w:color="auto"/>
            <w:bottom w:val="none" w:sz="0" w:space="0" w:color="auto"/>
            <w:right w:val="none" w:sz="0" w:space="0" w:color="auto"/>
          </w:divBdr>
        </w:div>
      </w:divsChild>
    </w:div>
    <w:div w:id="1369256574">
      <w:bodyDiv w:val="1"/>
      <w:marLeft w:val="0"/>
      <w:marRight w:val="0"/>
      <w:marTop w:val="0"/>
      <w:marBottom w:val="0"/>
      <w:divBdr>
        <w:top w:val="none" w:sz="0" w:space="0" w:color="auto"/>
        <w:left w:val="none" w:sz="0" w:space="0" w:color="auto"/>
        <w:bottom w:val="none" w:sz="0" w:space="0" w:color="auto"/>
        <w:right w:val="none" w:sz="0" w:space="0" w:color="auto"/>
      </w:divBdr>
    </w:div>
    <w:div w:id="1393698715">
      <w:bodyDiv w:val="1"/>
      <w:marLeft w:val="0"/>
      <w:marRight w:val="0"/>
      <w:marTop w:val="0"/>
      <w:marBottom w:val="0"/>
      <w:divBdr>
        <w:top w:val="none" w:sz="0" w:space="0" w:color="auto"/>
        <w:left w:val="none" w:sz="0" w:space="0" w:color="auto"/>
        <w:bottom w:val="none" w:sz="0" w:space="0" w:color="auto"/>
        <w:right w:val="none" w:sz="0" w:space="0" w:color="auto"/>
      </w:divBdr>
    </w:div>
    <w:div w:id="1642734295">
      <w:bodyDiv w:val="1"/>
      <w:marLeft w:val="0"/>
      <w:marRight w:val="0"/>
      <w:marTop w:val="0"/>
      <w:marBottom w:val="0"/>
      <w:divBdr>
        <w:top w:val="none" w:sz="0" w:space="0" w:color="auto"/>
        <w:left w:val="none" w:sz="0" w:space="0" w:color="auto"/>
        <w:bottom w:val="none" w:sz="0" w:space="0" w:color="auto"/>
        <w:right w:val="none" w:sz="0" w:space="0" w:color="auto"/>
      </w:divBdr>
    </w:div>
    <w:div w:id="1801877038">
      <w:bodyDiv w:val="1"/>
      <w:marLeft w:val="0"/>
      <w:marRight w:val="0"/>
      <w:marTop w:val="0"/>
      <w:marBottom w:val="0"/>
      <w:divBdr>
        <w:top w:val="none" w:sz="0" w:space="0" w:color="auto"/>
        <w:left w:val="none" w:sz="0" w:space="0" w:color="auto"/>
        <w:bottom w:val="none" w:sz="0" w:space="0" w:color="auto"/>
        <w:right w:val="none" w:sz="0" w:space="0" w:color="auto"/>
      </w:divBdr>
    </w:div>
    <w:div w:id="1837650640">
      <w:bodyDiv w:val="1"/>
      <w:marLeft w:val="0"/>
      <w:marRight w:val="0"/>
      <w:marTop w:val="0"/>
      <w:marBottom w:val="0"/>
      <w:divBdr>
        <w:top w:val="none" w:sz="0" w:space="0" w:color="auto"/>
        <w:left w:val="none" w:sz="0" w:space="0" w:color="auto"/>
        <w:bottom w:val="none" w:sz="0" w:space="0" w:color="auto"/>
        <w:right w:val="none" w:sz="0" w:space="0" w:color="auto"/>
      </w:divBdr>
    </w:div>
    <w:div w:id="1911846214">
      <w:bodyDiv w:val="1"/>
      <w:marLeft w:val="0"/>
      <w:marRight w:val="0"/>
      <w:marTop w:val="0"/>
      <w:marBottom w:val="0"/>
      <w:divBdr>
        <w:top w:val="none" w:sz="0" w:space="0" w:color="auto"/>
        <w:left w:val="none" w:sz="0" w:space="0" w:color="auto"/>
        <w:bottom w:val="none" w:sz="0" w:space="0" w:color="auto"/>
        <w:right w:val="none" w:sz="0" w:space="0" w:color="auto"/>
      </w:divBdr>
    </w:div>
    <w:div w:id="2146658698">
      <w:bodyDiv w:val="1"/>
      <w:marLeft w:val="0"/>
      <w:marRight w:val="0"/>
      <w:marTop w:val="0"/>
      <w:marBottom w:val="0"/>
      <w:divBdr>
        <w:top w:val="none" w:sz="0" w:space="0" w:color="auto"/>
        <w:left w:val="none" w:sz="0" w:space="0" w:color="auto"/>
        <w:bottom w:val="none" w:sz="0" w:space="0" w:color="auto"/>
        <w:right w:val="none" w:sz="0" w:space="0" w:color="auto"/>
      </w:divBdr>
      <w:divsChild>
        <w:div w:id="182126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fdo.org.au/about-us/" TargetMode="External"/><Relationship Id="rId18" Type="http://schemas.openxmlformats.org/officeDocument/2006/relationships/hyperlink" Target="https://www.atend.com.au/" TargetMode="External"/><Relationship Id="rId26" Type="http://schemas.openxmlformats.org/officeDocument/2006/relationships/hyperlink" Target="https://www.legislation.gov.au/Details/C2017C00339" TargetMode="External"/><Relationship Id="rId39" Type="http://schemas.openxmlformats.org/officeDocument/2006/relationships/hyperlink" Target="http://guides.dss.gov.au/guide-social-security-law/3/2/8/30" TargetMode="External"/><Relationship Id="rId21" Type="http://schemas.openxmlformats.org/officeDocument/2006/relationships/hyperlink" Target="https://www.cdaa.org.au/" TargetMode="External"/><Relationship Id="rId34" Type="http://schemas.openxmlformats.org/officeDocument/2006/relationships/hyperlink" Target="https://www.employment.gov.au/disability-employment-services" TargetMode="External"/><Relationship Id="rId42" Type="http://schemas.openxmlformats.org/officeDocument/2006/relationships/hyperlink" Target="https://www.humanservices.gov.au/individuals/services/centrelink/disability-employment-services" TargetMode="External"/><Relationship Id="rId47" Type="http://schemas.openxmlformats.org/officeDocument/2006/relationships/hyperlink" Target="https://www.humanservices.gov.au/individuals/enablers/employment-services-assessments" TargetMode="External"/><Relationship Id="rId50" Type="http://schemas.openxmlformats.org/officeDocument/2006/relationships/hyperlink" Target="http://jobs.vic.gov.au/about-jobs-victoria/jobs-victoria-employment-network" TargetMode="External"/><Relationship Id="rId55" Type="http://schemas.openxmlformats.org/officeDocument/2006/relationships/hyperlink" Target="http://www.education.vic.gov.au/school/teachers/teachingresources/careers/Pages/mips.aspx" TargetMode="External"/><Relationship Id="rId63" Type="http://schemas.openxmlformats.org/officeDocument/2006/relationships/hyperlink" Target="https://www.jobaccess.gov.au/employers/about-national-disability-recruitment-coordinator" TargetMode="External"/><Relationship Id="rId68" Type="http://schemas.openxmlformats.org/officeDocument/2006/relationships/hyperlink" Target="https://training.gov.au/" TargetMode="External"/><Relationship Id="rId76" Type="http://schemas.openxmlformats.org/officeDocument/2006/relationships/hyperlink" Target="https://www.employment.gov.au/supported-wage-system" TargetMode="External"/><Relationship Id="rId84" Type="http://schemas.openxmlformats.org/officeDocument/2006/relationships/hyperlink" Target="http://www.valid.org.au/" TargetMode="External"/><Relationship Id="rId89" Type="http://schemas.openxmlformats.org/officeDocument/2006/relationships/hyperlink" Target="https://www.vit.vic.edu.au/" TargetMode="External"/><Relationship Id="rId7" Type="http://schemas.openxmlformats.org/officeDocument/2006/relationships/hyperlink" Target="https://www.education.gov.au/acronyms" TargetMode="External"/><Relationship Id="rId71" Type="http://schemas.openxmlformats.org/officeDocument/2006/relationships/hyperlink" Target="http://acd.org.au/government-specialist-schools-units/" TargetMode="External"/><Relationship Id="rId92" Type="http://schemas.openxmlformats.org/officeDocument/2006/relationships/hyperlink" Target="https://www.yacvic.org.au/ydas" TargetMode="External"/><Relationship Id="rId2" Type="http://schemas.openxmlformats.org/officeDocument/2006/relationships/settings" Target="settings.xml"/><Relationship Id="rId16" Type="http://schemas.openxmlformats.org/officeDocument/2006/relationships/hyperlink" Target="https://www.atia.org/at-resources/what-is-at/" TargetMode="External"/><Relationship Id="rId29" Type="http://schemas.openxmlformats.org/officeDocument/2006/relationships/hyperlink" Target="https://www.education.gov.au/" TargetMode="External"/><Relationship Id="rId11" Type="http://schemas.openxmlformats.org/officeDocument/2006/relationships/hyperlink" Target="http://www.health.gov.au/internet/main/publishing.nsf/content/glossary" TargetMode="External"/><Relationship Id="rId24" Type="http://schemas.openxmlformats.org/officeDocument/2006/relationships/hyperlink" Target="https://www.humanrights.gov.au/our-work/disability-rights/action-plans/register-disability-discrimination-act-action-plans" TargetMode="External"/><Relationship Id="rId32" Type="http://schemas.openxmlformats.org/officeDocument/2006/relationships/hyperlink" Target="https://www.humanservices.gov.au/" TargetMode="External"/><Relationship Id="rId37" Type="http://schemas.openxmlformats.org/officeDocument/2006/relationships/hyperlink" Target="https://www.humanservices.gov.au/individuals/services/centrelink/disability-support-pension" TargetMode="External"/><Relationship Id="rId40" Type="http://schemas.openxmlformats.org/officeDocument/2006/relationships/hyperlink" Target="https://www.humanservices.gov.au/individuals/enablers/employment-services-assessments" TargetMode="External"/><Relationship Id="rId45" Type="http://schemas.openxmlformats.org/officeDocument/2006/relationships/hyperlink" Target="http://icannetwork.com.au/" TargetMode="External"/><Relationship Id="rId53" Type="http://schemas.openxmlformats.org/officeDocument/2006/relationships/hyperlink" Target="http://www.education.vic.gov.au/about/programs/pathways/Pages/llens.aspx" TargetMode="External"/><Relationship Id="rId58" Type="http://schemas.openxmlformats.org/officeDocument/2006/relationships/hyperlink" Target="https://www.education.gov.au/national-disability-coordination-officer-programme" TargetMode="External"/><Relationship Id="rId66" Type="http://schemas.openxmlformats.org/officeDocument/2006/relationships/hyperlink" Target="https://jobsearch.gov.au/path/jobseekers/internships" TargetMode="External"/><Relationship Id="rId74" Type="http://schemas.openxmlformats.org/officeDocument/2006/relationships/hyperlink" Target="https://www.atend.com.au/State-Committees/victoria/" TargetMode="External"/><Relationship Id="rId79" Type="http://schemas.openxmlformats.org/officeDocument/2006/relationships/hyperlink" Target="https://en.wikipedia.org/wiki/National_Training_System_(Australia)" TargetMode="External"/><Relationship Id="rId87" Type="http://schemas.openxmlformats.org/officeDocument/2006/relationships/hyperlink" Target="http://www.vcaa.vic.edu.au/Pages/vcal/students/studentfaq.aspx" TargetMode="External"/><Relationship Id="rId5" Type="http://schemas.openxmlformats.org/officeDocument/2006/relationships/endnotes" Target="endnotes.xml"/><Relationship Id="rId61" Type="http://schemas.openxmlformats.org/officeDocument/2006/relationships/hyperlink" Target="https://www.ndis.gov.au/index.html" TargetMode="External"/><Relationship Id="rId82" Type="http://schemas.openxmlformats.org/officeDocument/2006/relationships/hyperlink" Target="http://www.vta.vic.edu.au/networks/tafe-disability-network" TargetMode="External"/><Relationship Id="rId90" Type="http://schemas.openxmlformats.org/officeDocument/2006/relationships/hyperlink" Target="http://www.vtac.edu.au/" TargetMode="External"/><Relationship Id="rId95" Type="http://schemas.openxmlformats.org/officeDocument/2006/relationships/fontTable" Target="fontTable.xml"/><Relationship Id="rId19" Type="http://schemas.openxmlformats.org/officeDocument/2006/relationships/hyperlink" Target="https://www.aqf.edu.au/" TargetMode="External"/><Relationship Id="rId14" Type="http://schemas.openxmlformats.org/officeDocument/2006/relationships/hyperlink" Target="http://www.amaze.org.au/" TargetMode="External"/><Relationship Id="rId22" Type="http://schemas.openxmlformats.org/officeDocument/2006/relationships/hyperlink" Target="http://www.ceav.vic.edu.au/" TargetMode="External"/><Relationship Id="rId27" Type="http://schemas.openxmlformats.org/officeDocument/2006/relationships/hyperlink" Target="https://disabilityemployment.org.au/" TargetMode="External"/><Relationship Id="rId30" Type="http://schemas.openxmlformats.org/officeDocument/2006/relationships/hyperlink" Target="http://www.education.vic.gov.au/Pages/default.aspx" TargetMode="External"/><Relationship Id="rId35" Type="http://schemas.openxmlformats.org/officeDocument/2006/relationships/hyperlink" Target="http://www.dsa.org.au/Pages/Home.aspx" TargetMode="External"/><Relationship Id="rId43" Type="http://schemas.openxmlformats.org/officeDocument/2006/relationships/hyperlink" Target="http://www.wallara.com.au/wp-content/uploads/2017/03/2017-school-leavers-and-the-National-Disability-Insurance-Scheme.pdf" TargetMode="External"/><Relationship Id="rId48" Type="http://schemas.openxmlformats.org/officeDocument/2006/relationships/hyperlink" Target="https://www.jobaccess.gov.au/" TargetMode="External"/><Relationship Id="rId56" Type="http://schemas.openxmlformats.org/officeDocument/2006/relationships/hyperlink" Target="http://www.vgso.vic.gov.au/content/memoranda-understanding" TargetMode="External"/><Relationship Id="rId64" Type="http://schemas.openxmlformats.org/officeDocument/2006/relationships/hyperlink" Target="https://www.nds.org.au/" TargetMode="External"/><Relationship Id="rId69" Type="http://schemas.openxmlformats.org/officeDocument/2006/relationships/hyperlink" Target="http://www.vcaa.vic.edu.au/Pages/vet/programs/sbat.aspx" TargetMode="External"/><Relationship Id="rId77" Type="http://schemas.openxmlformats.org/officeDocument/2006/relationships/hyperlink" Target="https://en.wikipedia.org/wiki/Vocational_education" TargetMode="External"/><Relationship Id="rId8" Type="http://schemas.openxmlformats.org/officeDocument/2006/relationships/hyperlink" Target="https://www.employment.gov.au/acronyms" TargetMode="External"/><Relationship Id="rId51" Type="http://schemas.openxmlformats.org/officeDocument/2006/relationships/hyperlink" Target="https://www.ndis.gov.au/communities/local-area-coordination" TargetMode="External"/><Relationship Id="rId72" Type="http://schemas.openxmlformats.org/officeDocument/2006/relationships/hyperlink" Target="https://www.australianschoolsdirectory.com.au/search-specialneeds.php" TargetMode="External"/><Relationship Id="rId80" Type="http://schemas.openxmlformats.org/officeDocument/2006/relationships/hyperlink" Target="https://en.wikipedia.org/wiki/Australian_Qualifications_Framework" TargetMode="External"/><Relationship Id="rId85" Type="http://schemas.openxmlformats.org/officeDocument/2006/relationships/hyperlink" Target="http://www.vcaa.vic.edu.au/" TargetMode="External"/><Relationship Id="rId93"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www.adcet.edu.au/" TargetMode="External"/><Relationship Id="rId17" Type="http://schemas.openxmlformats.org/officeDocument/2006/relationships/hyperlink" Target="http://www.vtac.edu.au/results-offers/atar-explained.html" TargetMode="External"/><Relationship Id="rId25" Type="http://schemas.openxmlformats.org/officeDocument/2006/relationships/hyperlink" Target="https://www.dca.org.au/" TargetMode="External"/><Relationship Id="rId33" Type="http://schemas.openxmlformats.org/officeDocument/2006/relationships/hyperlink" Target="https://www.adcet.edu.au/resource/2867/tafe-victoria-disability-liaison-officers/" TargetMode="External"/><Relationship Id="rId38" Type="http://schemas.openxmlformats.org/officeDocument/2006/relationships/hyperlink" Target="https://www.jobaccess.gov.au/employment-assistance-fund-eaf" TargetMode="External"/><Relationship Id="rId46" Type="http://schemas.openxmlformats.org/officeDocument/2006/relationships/hyperlink" Target="https://ndis.gov.au/communities/ilc-home.html" TargetMode="External"/><Relationship Id="rId59" Type="http://schemas.openxmlformats.org/officeDocument/2006/relationships/hyperlink" Target="http://www.ndcovictoria.net.au/" TargetMode="External"/><Relationship Id="rId67" Type="http://schemas.openxmlformats.org/officeDocument/2006/relationships/hyperlink" Target="https://www.education.gov.au/recognition-prior-learning-rpl-assessment-toolkits" TargetMode="External"/><Relationship Id="rId20" Type="http://schemas.openxmlformats.org/officeDocument/2006/relationships/hyperlink" Target="http://www.carersaustralia.com.au/" TargetMode="External"/><Relationship Id="rId41" Type="http://schemas.openxmlformats.org/officeDocument/2006/relationships/hyperlink" Target="https://www.employment.gov.au/engaging-early-school-leavers" TargetMode="External"/><Relationship Id="rId54" Type="http://schemas.openxmlformats.org/officeDocument/2006/relationships/hyperlink" Target="https://www.education.gov.au/language-literacy-and-numeracy-lln-assessment-tool-information" TargetMode="External"/><Relationship Id="rId62" Type="http://schemas.openxmlformats.org/officeDocument/2006/relationships/hyperlink" Target="https://www.ndp.org.au/" TargetMode="External"/><Relationship Id="rId70" Type="http://schemas.openxmlformats.org/officeDocument/2006/relationships/hyperlink" Target="https://www.australianapprenticeships.gov.au/australian-apprentices" TargetMode="External"/><Relationship Id="rId75" Type="http://schemas.openxmlformats.org/officeDocument/2006/relationships/hyperlink" Target="https://www.ndis.gov.au/people-disability/sles" TargetMode="External"/><Relationship Id="rId83" Type="http://schemas.openxmlformats.org/officeDocument/2006/relationships/hyperlink" Target="https://www.employment.gov.au/transition-work" TargetMode="External"/><Relationship Id="rId88" Type="http://schemas.openxmlformats.org/officeDocument/2006/relationships/hyperlink" Target="http://www.australia.gov.au/information-and-services/education-and-training/vocational-education-and-training" TargetMode="External"/><Relationship Id="rId91" Type="http://schemas.openxmlformats.org/officeDocument/2006/relationships/hyperlink" Target="https://www.yacvic.org.au/"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ds.org.au/images/stpvic/ndis_Glossary_Key_Terms_and_Acronyms.pdf" TargetMode="External"/><Relationship Id="rId15" Type="http://schemas.openxmlformats.org/officeDocument/2006/relationships/hyperlink" Target="https://www.and.org.au/" TargetMode="External"/><Relationship Id="rId23" Type="http://schemas.openxmlformats.org/officeDocument/2006/relationships/hyperlink" Target="http://www.ceav.vic.edu.au/" TargetMode="External"/><Relationship Id="rId28" Type="http://schemas.openxmlformats.org/officeDocument/2006/relationships/hyperlink" Target="https://www.employment.gov.au/disability-employment-services" TargetMode="External"/><Relationship Id="rId36" Type="http://schemas.openxmlformats.org/officeDocument/2006/relationships/hyperlink" Target="http://www.disabilityservicesconsulting.com.au/" TargetMode="External"/><Relationship Id="rId49" Type="http://schemas.openxmlformats.org/officeDocument/2006/relationships/hyperlink" Target="https://jobactive.gov.au/" TargetMode="External"/><Relationship Id="rId57" Type="http://schemas.openxmlformats.org/officeDocument/2006/relationships/hyperlink" Target="https://www.dss.gov.au/our-responsibilities/disability-and-carers/program-services/for-people-with-disability/national-disability-advocacy-program-ndap" TargetMode="External"/><Relationship Id="rId10" Type="http://schemas.openxmlformats.org/officeDocument/2006/relationships/hyperlink" Target="http://www.voced.edu.au/glossary-vet" TargetMode="External"/><Relationship Id="rId31" Type="http://schemas.openxmlformats.org/officeDocument/2006/relationships/hyperlink" Target="https://dhhs.vic.gov.au/" TargetMode="External"/><Relationship Id="rId44" Type="http://schemas.openxmlformats.org/officeDocument/2006/relationships/hyperlink" Target="https://www.education.gov.au/higher-education-participation-and-partnerships-programme-heppp" TargetMode="External"/><Relationship Id="rId52" Type="http://schemas.openxmlformats.org/officeDocument/2006/relationships/hyperlink" Target="http://www.abs.gov.au/websitedbs/D3310114.nsf/Home/Finding+data+for+Local+Government+areas" TargetMode="External"/><Relationship Id="rId60" Type="http://schemas.openxmlformats.org/officeDocument/2006/relationships/hyperlink" Target="https://www.ndis.gov.au/about-us" TargetMode="External"/><Relationship Id="rId65" Type="http://schemas.openxmlformats.org/officeDocument/2006/relationships/hyperlink" Target="https://skillsplus.com.au/news/passport-2-employment-p2e-recognised-nationally/" TargetMode="External"/><Relationship Id="rId73" Type="http://schemas.openxmlformats.org/officeDocument/2006/relationships/hyperlink" Target="http://www.vtac.edu.au/who/seas.html" TargetMode="External"/><Relationship Id="rId78" Type="http://schemas.openxmlformats.org/officeDocument/2006/relationships/hyperlink" Target="https://en.wikipedia.org/wiki/Post-secondary_education" TargetMode="External"/><Relationship Id="rId81" Type="http://schemas.openxmlformats.org/officeDocument/2006/relationships/hyperlink" Target="https://www.tafecourses.com.au/" TargetMode="External"/><Relationship Id="rId86" Type="http://schemas.openxmlformats.org/officeDocument/2006/relationships/hyperlink" Target="http://www.vcaa.vic.edu.au/Pages/vcal/students/studentfaq.aspx" TargetMode="External"/><Relationship Id="rId9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ducation.vic.gov.au/about/department/Pages/acrony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4753</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Parker</dc:creator>
  <cp:keywords/>
  <dc:description/>
  <cp:lastModifiedBy>Sally Bailey</cp:lastModifiedBy>
  <cp:revision>3</cp:revision>
  <cp:lastPrinted>2018-02-13T02:32:00Z</cp:lastPrinted>
  <dcterms:created xsi:type="dcterms:W3CDTF">2018-02-13T02:29:00Z</dcterms:created>
  <dcterms:modified xsi:type="dcterms:W3CDTF">2018-02-13T02:32:00Z</dcterms:modified>
</cp:coreProperties>
</file>